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3249F" w14:textId="77777777" w:rsidR="00BB792D" w:rsidRDefault="00293D60">
      <w:pPr>
        <w:spacing w:after="0"/>
        <w:jc w:val="center"/>
        <w:rPr>
          <w:sz w:val="28"/>
          <w:szCs w:val="28"/>
          <w:u w:val="double"/>
        </w:rPr>
      </w:pPr>
      <w:r>
        <w:rPr>
          <w:sz w:val="28"/>
          <w:szCs w:val="28"/>
          <w:u w:val="double"/>
        </w:rPr>
        <w:t xml:space="preserve">  </w:t>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r w:rsidR="00CF220A">
        <w:rPr>
          <w:sz w:val="28"/>
          <w:szCs w:val="28"/>
          <w:u w:val="double"/>
        </w:rPr>
        <w:tab/>
      </w:r>
    </w:p>
    <w:p w14:paraId="7E5097F0" w14:textId="77777777" w:rsidR="00BB792D" w:rsidRDefault="00BB792D">
      <w:pPr>
        <w:spacing w:after="0"/>
        <w:jc w:val="center"/>
        <w:rPr>
          <w:b/>
          <w:sz w:val="28"/>
          <w:szCs w:val="28"/>
        </w:rPr>
      </w:pPr>
    </w:p>
    <w:p w14:paraId="74E1CA85" w14:textId="77777777" w:rsidR="00BB792D" w:rsidRDefault="00CF220A">
      <w:pPr>
        <w:spacing w:after="0"/>
        <w:jc w:val="center"/>
        <w:rPr>
          <w:b/>
          <w:sz w:val="28"/>
          <w:szCs w:val="28"/>
        </w:rPr>
      </w:pPr>
      <w:r>
        <w:rPr>
          <w:b/>
          <w:sz w:val="28"/>
          <w:szCs w:val="28"/>
        </w:rPr>
        <w:t>UNITED STATES</w:t>
      </w:r>
    </w:p>
    <w:p w14:paraId="152345BB" w14:textId="77777777" w:rsidR="00BB792D" w:rsidRDefault="00CF220A">
      <w:pPr>
        <w:spacing w:after="0"/>
        <w:jc w:val="center"/>
        <w:rPr>
          <w:b/>
          <w:sz w:val="28"/>
          <w:szCs w:val="28"/>
        </w:rPr>
      </w:pPr>
      <w:r>
        <w:rPr>
          <w:b/>
          <w:sz w:val="28"/>
          <w:szCs w:val="28"/>
        </w:rPr>
        <w:t xml:space="preserve">SECURITIES AND EXCHANGE COMMISSION </w:t>
      </w:r>
    </w:p>
    <w:p w14:paraId="0536E2B1" w14:textId="77777777" w:rsidR="00BB792D" w:rsidRDefault="00CF220A">
      <w:pPr>
        <w:spacing w:after="0"/>
        <w:jc w:val="center"/>
        <w:rPr>
          <w:b/>
          <w:sz w:val="28"/>
          <w:szCs w:val="28"/>
        </w:rPr>
      </w:pPr>
      <w:r>
        <w:rPr>
          <w:b/>
          <w:sz w:val="28"/>
          <w:szCs w:val="28"/>
        </w:rPr>
        <w:t>Washington, D.C.  20549</w:t>
      </w:r>
    </w:p>
    <w:p w14:paraId="25A345EB" w14:textId="77777777" w:rsidR="00BB792D" w:rsidRDefault="00BB792D">
      <w:pPr>
        <w:spacing w:after="0"/>
        <w:jc w:val="center"/>
        <w:rPr>
          <w:b/>
          <w:sz w:val="28"/>
          <w:szCs w:val="28"/>
        </w:rPr>
      </w:pPr>
    </w:p>
    <w:p w14:paraId="03BE02E5" w14:textId="77777777" w:rsidR="00BB792D" w:rsidRDefault="00CF220A">
      <w:pPr>
        <w:spacing w:after="0"/>
        <w:jc w:val="center"/>
        <w:rPr>
          <w:b/>
          <w:sz w:val="20"/>
          <w:szCs w:val="20"/>
          <w:u w:val="single"/>
        </w:rPr>
      </w:pPr>
      <w:r>
        <w:rPr>
          <w:b/>
          <w:sz w:val="20"/>
          <w:szCs w:val="20"/>
          <w:u w:val="single"/>
        </w:rPr>
        <w:tab/>
      </w:r>
      <w:r>
        <w:rPr>
          <w:b/>
          <w:sz w:val="20"/>
          <w:szCs w:val="20"/>
          <w:u w:val="single"/>
        </w:rPr>
        <w:tab/>
      </w:r>
      <w:r>
        <w:rPr>
          <w:b/>
          <w:sz w:val="20"/>
          <w:szCs w:val="20"/>
          <w:u w:val="single"/>
        </w:rPr>
        <w:tab/>
      </w:r>
    </w:p>
    <w:p w14:paraId="2B81B959" w14:textId="77777777" w:rsidR="00BB792D" w:rsidRDefault="00BB792D">
      <w:pPr>
        <w:spacing w:after="0"/>
        <w:jc w:val="center"/>
        <w:rPr>
          <w:b/>
          <w:sz w:val="20"/>
          <w:szCs w:val="20"/>
          <w:u w:val="single"/>
        </w:rPr>
      </w:pPr>
    </w:p>
    <w:p w14:paraId="2AB060FA" w14:textId="77777777" w:rsidR="00BB792D" w:rsidRDefault="00CF220A">
      <w:pPr>
        <w:spacing w:after="0"/>
        <w:jc w:val="center"/>
        <w:rPr>
          <w:b/>
          <w:sz w:val="28"/>
          <w:szCs w:val="28"/>
        </w:rPr>
      </w:pPr>
      <w:r>
        <w:rPr>
          <w:b/>
          <w:sz w:val="28"/>
          <w:szCs w:val="28"/>
        </w:rPr>
        <w:t>FORM SD</w:t>
      </w:r>
    </w:p>
    <w:p w14:paraId="4B8521E6" w14:textId="77777777" w:rsidR="00BB792D" w:rsidRDefault="00CF220A">
      <w:pPr>
        <w:spacing w:after="0"/>
        <w:jc w:val="center"/>
        <w:rPr>
          <w:b/>
          <w:sz w:val="28"/>
          <w:szCs w:val="28"/>
        </w:rPr>
      </w:pPr>
      <w:r>
        <w:rPr>
          <w:b/>
          <w:sz w:val="28"/>
          <w:szCs w:val="28"/>
        </w:rPr>
        <w:t>SPECIALIZED DISCLOSURE REPORT</w:t>
      </w:r>
    </w:p>
    <w:p w14:paraId="4D724E8B" w14:textId="77777777" w:rsidR="00BB792D" w:rsidRDefault="00CF220A">
      <w:pPr>
        <w:jc w:val="center"/>
        <w:rPr>
          <w:u w:val="single"/>
        </w:rPr>
      </w:pPr>
      <w:r>
        <w:rPr>
          <w:u w:val="single"/>
        </w:rPr>
        <w:tab/>
      </w:r>
      <w:r>
        <w:rPr>
          <w:u w:val="single"/>
        </w:rPr>
        <w:tab/>
      </w:r>
      <w:r>
        <w:rPr>
          <w:u w:val="single"/>
        </w:rPr>
        <w:tab/>
      </w:r>
    </w:p>
    <w:p w14:paraId="353C0A1B" w14:textId="2CDE4A5C" w:rsidR="00BB792D" w:rsidRDefault="00CF220A">
      <w:pPr>
        <w:spacing w:after="0"/>
        <w:jc w:val="center"/>
      </w:pPr>
      <w:r>
        <w:rPr>
          <w:b/>
          <w:u w:val="single"/>
        </w:rPr>
        <w:t xml:space="preserve">WORTHINGTON </w:t>
      </w:r>
      <w:r w:rsidR="00841719">
        <w:rPr>
          <w:b/>
          <w:u w:val="single"/>
        </w:rPr>
        <w:t xml:space="preserve">STEEL, </w:t>
      </w:r>
      <w:r>
        <w:rPr>
          <w:b/>
          <w:u w:val="single"/>
        </w:rPr>
        <w:t>INC.</w:t>
      </w:r>
    </w:p>
    <w:p w14:paraId="5B5C7EF4" w14:textId="77777777" w:rsidR="00BB792D" w:rsidRDefault="00CF220A">
      <w:pPr>
        <w:spacing w:after="0"/>
        <w:jc w:val="center"/>
        <w:rPr>
          <w:sz w:val="20"/>
          <w:szCs w:val="20"/>
        </w:rPr>
      </w:pPr>
      <w:r>
        <w:rPr>
          <w:sz w:val="20"/>
          <w:szCs w:val="20"/>
        </w:rPr>
        <w:t>(Exact name of registrant as specified in its charter)</w:t>
      </w:r>
    </w:p>
    <w:p w14:paraId="067F4BFB" w14:textId="77777777" w:rsidR="00BB792D" w:rsidRDefault="00BB792D">
      <w:pPr>
        <w:spacing w:after="0"/>
        <w:jc w:val="center"/>
        <w:rPr>
          <w:sz w:val="20"/>
          <w:szCs w:val="20"/>
        </w:rPr>
      </w:pPr>
    </w:p>
    <w:p w14:paraId="5C92A0E4" w14:textId="400712F4" w:rsidR="00BB792D" w:rsidRDefault="00CF220A">
      <w:pPr>
        <w:spacing w:after="0"/>
        <w:rPr>
          <w:sz w:val="20"/>
          <w:szCs w:val="20"/>
          <w:u w:val="single"/>
        </w:rPr>
      </w:pPr>
      <w:r>
        <w:rPr>
          <w:sz w:val="20"/>
          <w:szCs w:val="20"/>
          <w:u w:val="single"/>
        </w:rPr>
        <w:tab/>
      </w:r>
      <w:r>
        <w:rPr>
          <w:sz w:val="20"/>
          <w:szCs w:val="20"/>
          <w:u w:val="single"/>
        </w:rPr>
        <w:tab/>
        <w:t>Ohio</w:t>
      </w:r>
      <w:r>
        <w:rPr>
          <w:sz w:val="20"/>
          <w:szCs w:val="20"/>
          <w:u w:val="single"/>
        </w:rPr>
        <w:tab/>
      </w:r>
      <w:r>
        <w:rPr>
          <w:sz w:val="20"/>
          <w:szCs w:val="20"/>
          <w:u w:val="single"/>
        </w:rPr>
        <w:tab/>
      </w:r>
      <w:r>
        <w:rPr>
          <w:sz w:val="20"/>
          <w:szCs w:val="20"/>
          <w:u w:val="single"/>
        </w:rPr>
        <w:tab/>
      </w:r>
      <w:r>
        <w:rPr>
          <w:sz w:val="20"/>
          <w:szCs w:val="20"/>
          <w:u w:val="single"/>
        </w:rPr>
        <w:tab/>
      </w:r>
      <w:r w:rsidRPr="00841719">
        <w:rPr>
          <w:sz w:val="20"/>
          <w:szCs w:val="20"/>
          <w:u w:val="single"/>
        </w:rPr>
        <w:t>001-</w:t>
      </w:r>
      <w:r w:rsidR="00841719">
        <w:rPr>
          <w:sz w:val="20"/>
          <w:szCs w:val="20"/>
          <w:u w:val="single"/>
        </w:rPr>
        <w:t>41830</w:t>
      </w:r>
      <w:r>
        <w:rPr>
          <w:sz w:val="20"/>
          <w:szCs w:val="20"/>
          <w:u w:val="single"/>
        </w:rPr>
        <w:tab/>
      </w:r>
      <w:r>
        <w:rPr>
          <w:sz w:val="20"/>
          <w:szCs w:val="20"/>
          <w:u w:val="single"/>
        </w:rPr>
        <w:tab/>
      </w:r>
      <w:r>
        <w:rPr>
          <w:sz w:val="20"/>
          <w:szCs w:val="20"/>
          <w:u w:val="single"/>
        </w:rPr>
        <w:tab/>
      </w:r>
      <w:r w:rsidR="00841719">
        <w:rPr>
          <w:sz w:val="20"/>
          <w:szCs w:val="20"/>
          <w:u w:val="single"/>
        </w:rPr>
        <w:t>92-2632000</w:t>
      </w:r>
      <w:r>
        <w:rPr>
          <w:sz w:val="20"/>
          <w:szCs w:val="20"/>
          <w:u w:val="single"/>
        </w:rPr>
        <w:tab/>
      </w:r>
      <w:r>
        <w:rPr>
          <w:sz w:val="20"/>
          <w:szCs w:val="20"/>
          <w:u w:val="single"/>
        </w:rPr>
        <w:tab/>
      </w:r>
    </w:p>
    <w:p w14:paraId="00333A53" w14:textId="77777777" w:rsidR="00BB792D" w:rsidRDefault="00CF220A">
      <w:pPr>
        <w:spacing w:after="0"/>
        <w:rPr>
          <w:sz w:val="20"/>
          <w:szCs w:val="20"/>
        </w:rPr>
      </w:pPr>
      <w:r>
        <w:rPr>
          <w:sz w:val="20"/>
          <w:szCs w:val="20"/>
        </w:rPr>
        <w:tab/>
        <w:t>(State or other jurisdiction of</w:t>
      </w:r>
      <w:r>
        <w:rPr>
          <w:sz w:val="20"/>
          <w:szCs w:val="20"/>
        </w:rPr>
        <w:tab/>
        <w:t>(Commission File Number)</w:t>
      </w:r>
      <w:r>
        <w:rPr>
          <w:sz w:val="20"/>
          <w:szCs w:val="20"/>
        </w:rPr>
        <w:tab/>
        <w:t>(IRS Employer Identification No.)</w:t>
      </w:r>
    </w:p>
    <w:p w14:paraId="4851406B" w14:textId="77777777" w:rsidR="00BB792D" w:rsidRDefault="00CF220A">
      <w:pPr>
        <w:spacing w:after="0"/>
        <w:rPr>
          <w:sz w:val="20"/>
          <w:szCs w:val="20"/>
        </w:rPr>
      </w:pPr>
      <w:r>
        <w:rPr>
          <w:sz w:val="20"/>
          <w:szCs w:val="20"/>
        </w:rPr>
        <w:tab/>
        <w:t>incorporation or organization)</w:t>
      </w:r>
    </w:p>
    <w:p w14:paraId="70212089" w14:textId="77777777" w:rsidR="00BB792D" w:rsidRDefault="00BB792D">
      <w:pPr>
        <w:spacing w:after="0"/>
        <w:rPr>
          <w:sz w:val="20"/>
          <w:szCs w:val="20"/>
        </w:rPr>
      </w:pPr>
    </w:p>
    <w:p w14:paraId="41EA23ED" w14:textId="7E622D5C" w:rsidR="00BB792D" w:rsidRDefault="00CF220A">
      <w:pPr>
        <w:spacing w:after="0"/>
        <w:rPr>
          <w:sz w:val="20"/>
          <w:szCs w:val="20"/>
          <w:u w:val="single"/>
        </w:rPr>
      </w:pPr>
      <w:r>
        <w:rPr>
          <w:sz w:val="20"/>
          <w:szCs w:val="20"/>
          <w:u w:val="single"/>
        </w:rPr>
        <w:tab/>
      </w:r>
      <w:r w:rsidR="00841719">
        <w:rPr>
          <w:sz w:val="20"/>
          <w:szCs w:val="20"/>
          <w:u w:val="single"/>
        </w:rPr>
        <w:t>1</w:t>
      </w:r>
      <w:r>
        <w:rPr>
          <w:sz w:val="20"/>
          <w:szCs w:val="20"/>
          <w:u w:val="single"/>
        </w:rPr>
        <w:t xml:space="preserve">00 </w:t>
      </w:r>
      <w:r w:rsidR="00841719">
        <w:rPr>
          <w:sz w:val="20"/>
          <w:szCs w:val="20"/>
          <w:u w:val="single"/>
        </w:rPr>
        <w:t xml:space="preserve">W. </w:t>
      </w:r>
      <w:r>
        <w:rPr>
          <w:sz w:val="20"/>
          <w:szCs w:val="20"/>
          <w:u w:val="single"/>
        </w:rPr>
        <w:t>Old Wilson Bridge Road, Columbus, Ohio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t xml:space="preserve"> 43085</w:t>
      </w:r>
      <w:r>
        <w:rPr>
          <w:sz w:val="20"/>
          <w:szCs w:val="20"/>
          <w:u w:val="single"/>
        </w:rPr>
        <w:tab/>
      </w:r>
      <w:r>
        <w:rPr>
          <w:sz w:val="20"/>
          <w:szCs w:val="20"/>
          <w:u w:val="single"/>
        </w:rPr>
        <w:tab/>
      </w:r>
    </w:p>
    <w:p w14:paraId="4E711430" w14:textId="77777777" w:rsidR="00BB792D" w:rsidRDefault="00CF220A">
      <w:pPr>
        <w:spacing w:after="0"/>
        <w:rPr>
          <w:sz w:val="20"/>
          <w:szCs w:val="20"/>
        </w:rPr>
      </w:pPr>
      <w:r>
        <w:rPr>
          <w:sz w:val="20"/>
          <w:szCs w:val="20"/>
        </w:rPr>
        <w:tab/>
        <w:t>(Address of principal executive offices)</w:t>
      </w:r>
      <w:r>
        <w:rPr>
          <w:sz w:val="20"/>
          <w:szCs w:val="20"/>
        </w:rPr>
        <w:tab/>
      </w:r>
      <w:r>
        <w:rPr>
          <w:sz w:val="20"/>
          <w:szCs w:val="20"/>
        </w:rPr>
        <w:tab/>
      </w:r>
      <w:r>
        <w:rPr>
          <w:sz w:val="20"/>
          <w:szCs w:val="20"/>
        </w:rPr>
        <w:tab/>
      </w:r>
      <w:r>
        <w:rPr>
          <w:sz w:val="20"/>
          <w:szCs w:val="20"/>
        </w:rPr>
        <w:tab/>
      </w:r>
      <w:r>
        <w:rPr>
          <w:sz w:val="20"/>
          <w:szCs w:val="20"/>
        </w:rPr>
        <w:tab/>
      </w:r>
      <w:r>
        <w:rPr>
          <w:sz w:val="20"/>
          <w:szCs w:val="20"/>
        </w:rPr>
        <w:tab/>
        <w:t>(Zip code)</w:t>
      </w:r>
    </w:p>
    <w:p w14:paraId="63204E27" w14:textId="77777777" w:rsidR="00BB792D" w:rsidRDefault="00BB792D">
      <w:pPr>
        <w:spacing w:after="0"/>
        <w:rPr>
          <w:i/>
          <w:sz w:val="20"/>
          <w:szCs w:val="20"/>
        </w:rPr>
      </w:pPr>
    </w:p>
    <w:p w14:paraId="69630A67" w14:textId="28730CE5" w:rsidR="00BB792D" w:rsidRDefault="00CF220A">
      <w:pPr>
        <w:spacing w:after="0"/>
        <w:rPr>
          <w:sz w:val="20"/>
          <w:szCs w:val="20"/>
          <w:u w:val="single"/>
        </w:rPr>
      </w:pPr>
      <w:r>
        <w:rPr>
          <w:sz w:val="20"/>
          <w:szCs w:val="20"/>
          <w:u w:val="single"/>
        </w:rPr>
        <w:tab/>
      </w:r>
      <w:r w:rsidR="00841719" w:rsidRPr="00841719">
        <w:rPr>
          <w:sz w:val="20"/>
          <w:szCs w:val="20"/>
          <w:u w:val="single"/>
        </w:rPr>
        <w:t>Joseph Y. Heuer</w:t>
      </w:r>
      <w:r w:rsidRPr="00841719">
        <w:rPr>
          <w:sz w:val="20"/>
          <w:szCs w:val="20"/>
          <w:u w:val="single"/>
        </w:rPr>
        <w:tab/>
      </w:r>
      <w:r w:rsidRPr="00841719">
        <w:rPr>
          <w:sz w:val="20"/>
          <w:szCs w:val="20"/>
          <w:u w:val="single"/>
        </w:rPr>
        <w:tab/>
      </w:r>
      <w:r w:rsidRPr="00841719">
        <w:rPr>
          <w:sz w:val="20"/>
          <w:szCs w:val="20"/>
          <w:u w:val="single"/>
        </w:rPr>
        <w:tab/>
      </w:r>
      <w:r w:rsidRPr="00841719">
        <w:rPr>
          <w:sz w:val="20"/>
          <w:szCs w:val="20"/>
          <w:u w:val="single"/>
        </w:rPr>
        <w:tab/>
      </w:r>
      <w:r w:rsidRPr="00841719">
        <w:rPr>
          <w:sz w:val="20"/>
          <w:szCs w:val="20"/>
          <w:u w:val="single"/>
        </w:rPr>
        <w:tab/>
      </w:r>
      <w:r w:rsidRPr="00841719">
        <w:rPr>
          <w:sz w:val="20"/>
          <w:szCs w:val="20"/>
          <w:u w:val="single"/>
        </w:rPr>
        <w:tab/>
      </w:r>
      <w:r w:rsidRPr="00841719">
        <w:rPr>
          <w:sz w:val="20"/>
          <w:szCs w:val="20"/>
          <w:u w:val="single"/>
        </w:rPr>
        <w:tab/>
        <w:t>614-840-3</w:t>
      </w:r>
      <w:r w:rsidR="00841719" w:rsidRPr="00841719">
        <w:rPr>
          <w:sz w:val="20"/>
          <w:szCs w:val="20"/>
          <w:u w:val="single"/>
        </w:rPr>
        <w:t>462</w:t>
      </w:r>
      <w:r>
        <w:rPr>
          <w:sz w:val="20"/>
          <w:szCs w:val="20"/>
          <w:u w:val="single"/>
        </w:rPr>
        <w:tab/>
      </w:r>
      <w:r>
        <w:rPr>
          <w:sz w:val="20"/>
          <w:szCs w:val="20"/>
          <w:u w:val="single"/>
        </w:rPr>
        <w:tab/>
      </w:r>
    </w:p>
    <w:p w14:paraId="17930243" w14:textId="77777777" w:rsidR="00BB792D" w:rsidRDefault="00CF220A">
      <w:pPr>
        <w:spacing w:after="0"/>
        <w:jc w:val="center"/>
        <w:rPr>
          <w:sz w:val="20"/>
          <w:szCs w:val="20"/>
        </w:rPr>
      </w:pPr>
      <w:r>
        <w:rPr>
          <w:sz w:val="20"/>
          <w:szCs w:val="20"/>
        </w:rPr>
        <w:t>(Name and telephone number, including area code, of the person to contact in connection with this report.)</w:t>
      </w:r>
    </w:p>
    <w:p w14:paraId="7DCA8CF1" w14:textId="77777777" w:rsidR="00BB792D" w:rsidRDefault="00BB792D">
      <w:pPr>
        <w:spacing w:after="0"/>
        <w:jc w:val="center"/>
        <w:rPr>
          <w:i/>
          <w:sz w:val="20"/>
          <w:szCs w:val="20"/>
        </w:rPr>
      </w:pPr>
    </w:p>
    <w:p w14:paraId="07C19224" w14:textId="401F84C9" w:rsidR="00BB792D" w:rsidRDefault="00CF220A">
      <w:pPr>
        <w:spacing w:after="0"/>
        <w:rPr>
          <w:sz w:val="20"/>
          <w:szCs w:val="20"/>
        </w:rPr>
      </w:pPr>
      <w:r>
        <w:rPr>
          <w:sz w:val="20"/>
          <w:szCs w:val="20"/>
        </w:rPr>
        <w:t xml:space="preserve">Check the appropriate box to indicate the rule pursuant to which this form is </w:t>
      </w:r>
      <w:proofErr w:type="gramStart"/>
      <w:r>
        <w:rPr>
          <w:sz w:val="20"/>
          <w:szCs w:val="20"/>
        </w:rPr>
        <w:t>being filed</w:t>
      </w:r>
      <w:proofErr w:type="gramEnd"/>
      <w:r>
        <w:rPr>
          <w:sz w:val="20"/>
          <w:szCs w:val="20"/>
        </w:rPr>
        <w:t>, and</w:t>
      </w:r>
      <w:r w:rsidR="000359BE">
        <w:rPr>
          <w:sz w:val="20"/>
          <w:szCs w:val="20"/>
        </w:rPr>
        <w:t xml:space="preserve"> </w:t>
      </w:r>
      <w:r>
        <w:rPr>
          <w:sz w:val="20"/>
          <w:szCs w:val="20"/>
        </w:rPr>
        <w:t>provide the period to which the information in this form applies:</w:t>
      </w:r>
    </w:p>
    <w:p w14:paraId="281033DD" w14:textId="77777777" w:rsidR="00BB792D" w:rsidRDefault="00BB792D">
      <w:pPr>
        <w:spacing w:after="0"/>
        <w:rPr>
          <w:sz w:val="20"/>
          <w:szCs w:val="20"/>
        </w:rPr>
      </w:pPr>
    </w:p>
    <w:p w14:paraId="10A27563" w14:textId="7561D35B" w:rsidR="00BB792D" w:rsidRDefault="00CF220A">
      <w:pPr>
        <w:spacing w:after="0"/>
        <w:rPr>
          <w:sz w:val="20"/>
          <w:szCs w:val="20"/>
        </w:rPr>
      </w:pPr>
      <w:r>
        <w:rPr>
          <w:sz w:val="20"/>
          <w:szCs w:val="20"/>
          <w:u w:val="single"/>
        </w:rPr>
        <w:t xml:space="preserve">  X    </w:t>
      </w:r>
      <w:r>
        <w:rPr>
          <w:sz w:val="20"/>
          <w:szCs w:val="20"/>
        </w:rPr>
        <w:t xml:space="preserve"> </w:t>
      </w:r>
      <w:r>
        <w:rPr>
          <w:sz w:val="20"/>
          <w:szCs w:val="20"/>
        </w:rPr>
        <w:tab/>
        <w:t xml:space="preserve">Rule 13p-1 under the Securities Exchange Act (17 CFR 240.13p-1) for the reporting period from January 1 </w:t>
      </w:r>
      <w:r>
        <w:rPr>
          <w:sz w:val="20"/>
          <w:szCs w:val="20"/>
        </w:rPr>
        <w:tab/>
        <w:t>to December 31, 20</w:t>
      </w:r>
      <w:r w:rsidR="00D26E80">
        <w:rPr>
          <w:sz w:val="20"/>
          <w:szCs w:val="20"/>
        </w:rPr>
        <w:t>2</w:t>
      </w:r>
      <w:r w:rsidR="000359BE">
        <w:rPr>
          <w:sz w:val="20"/>
          <w:szCs w:val="20"/>
        </w:rPr>
        <w:t>5</w:t>
      </w:r>
      <w:r>
        <w:rPr>
          <w:sz w:val="20"/>
          <w:szCs w:val="20"/>
        </w:rPr>
        <w:t xml:space="preserve">.  </w:t>
      </w:r>
      <w:r w:rsidR="00E3599C">
        <w:rPr>
          <w:sz w:val="20"/>
          <w:szCs w:val="20"/>
        </w:rPr>
        <w:t xml:space="preserve"> </w:t>
      </w:r>
    </w:p>
    <w:p w14:paraId="437E111C" w14:textId="77777777" w:rsidR="00BB792D" w:rsidRDefault="00BB792D">
      <w:pPr>
        <w:spacing w:after="0"/>
        <w:rPr>
          <w:sz w:val="20"/>
          <w:szCs w:val="20"/>
        </w:rPr>
      </w:pPr>
    </w:p>
    <w:p w14:paraId="3E19C82E" w14:textId="4E9B56D8" w:rsidR="000A1B77" w:rsidRDefault="000A1B77">
      <w:pPr>
        <w:spacing w:after="0"/>
        <w:rPr>
          <w:sz w:val="20"/>
          <w:szCs w:val="20"/>
        </w:rPr>
      </w:pPr>
      <w:r>
        <w:rPr>
          <w:rFonts w:ascii="Segoe UI Symbol" w:hAnsi="Segoe UI Symbol" w:cs="Segoe UI Symbol"/>
          <w:sz w:val="20"/>
          <w:szCs w:val="20"/>
        </w:rPr>
        <w:t>____</w:t>
      </w:r>
      <w:r>
        <w:rPr>
          <w:rFonts w:ascii="Segoe UI Symbol" w:hAnsi="Segoe UI Symbol" w:cs="Segoe UI Symbol"/>
          <w:sz w:val="20"/>
          <w:szCs w:val="20"/>
        </w:rPr>
        <w:tab/>
      </w:r>
      <w:r w:rsidRPr="000A1B77">
        <w:rPr>
          <w:sz w:val="20"/>
          <w:szCs w:val="20"/>
        </w:rPr>
        <w:t>Rule 13q-1 under the Securities Exchange Act (17 CFR 240.13q-1) for the fiscal year ended ____ .</w:t>
      </w:r>
    </w:p>
    <w:p w14:paraId="56633736" w14:textId="77777777" w:rsidR="00BB792D" w:rsidRDefault="00CF220A">
      <w:pPr>
        <w:spacing w:after="0"/>
        <w:jc w:val="center"/>
        <w:rPr>
          <w:sz w:val="28"/>
          <w:szCs w:val="28"/>
          <w:u w:val="double"/>
        </w:rPr>
      </w:pP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r>
        <w:rPr>
          <w:sz w:val="28"/>
          <w:szCs w:val="28"/>
          <w:u w:val="double"/>
        </w:rPr>
        <w:tab/>
      </w:r>
    </w:p>
    <w:p w14:paraId="3749FCDE" w14:textId="77777777" w:rsidR="00BB792D" w:rsidRDefault="00CF220A">
      <w:pPr>
        <w:rPr>
          <w:sz w:val="20"/>
          <w:szCs w:val="20"/>
        </w:rPr>
      </w:pPr>
      <w:r>
        <w:rPr>
          <w:sz w:val="20"/>
          <w:szCs w:val="20"/>
        </w:rPr>
        <w:br w:type="page"/>
      </w:r>
    </w:p>
    <w:p w14:paraId="2C7699DB" w14:textId="77777777" w:rsidR="00BB792D" w:rsidRDefault="00BB792D">
      <w:pPr>
        <w:spacing w:after="0"/>
        <w:rPr>
          <w:sz w:val="20"/>
          <w:szCs w:val="20"/>
        </w:rPr>
      </w:pPr>
    </w:p>
    <w:p w14:paraId="5CF92BCA" w14:textId="77777777" w:rsidR="00BB792D" w:rsidRDefault="00CF220A">
      <w:pPr>
        <w:spacing w:after="0"/>
        <w:rPr>
          <w:b/>
          <w:sz w:val="20"/>
          <w:szCs w:val="20"/>
        </w:rPr>
      </w:pPr>
      <w:r>
        <w:rPr>
          <w:b/>
          <w:sz w:val="20"/>
          <w:szCs w:val="20"/>
        </w:rPr>
        <w:t xml:space="preserve">Section 1 – Conflict Minerals Disclosure. </w:t>
      </w:r>
    </w:p>
    <w:p w14:paraId="5E11DE4A" w14:textId="77777777" w:rsidR="00BB792D" w:rsidRDefault="00BB792D">
      <w:pPr>
        <w:spacing w:after="0"/>
        <w:rPr>
          <w:b/>
          <w:sz w:val="20"/>
          <w:szCs w:val="20"/>
        </w:rPr>
      </w:pPr>
    </w:p>
    <w:p w14:paraId="6E89AB06" w14:textId="77777777" w:rsidR="00BB792D" w:rsidRDefault="00CF220A">
      <w:pPr>
        <w:rPr>
          <w:b/>
          <w:sz w:val="20"/>
          <w:szCs w:val="20"/>
        </w:rPr>
      </w:pPr>
      <w:r>
        <w:rPr>
          <w:b/>
          <w:sz w:val="20"/>
          <w:szCs w:val="20"/>
        </w:rPr>
        <w:t>Item 1.01 Conflict Minerals Disclosure and Report</w:t>
      </w:r>
    </w:p>
    <w:p w14:paraId="327305D5" w14:textId="17F909A2" w:rsidR="00F64394" w:rsidRDefault="00F64394" w:rsidP="00F64394">
      <w:pPr>
        <w:jc w:val="both"/>
        <w:rPr>
          <w:sz w:val="20"/>
          <w:szCs w:val="20"/>
        </w:rPr>
      </w:pPr>
      <w:r>
        <w:rPr>
          <w:sz w:val="20"/>
          <w:szCs w:val="20"/>
        </w:rPr>
        <w:t xml:space="preserve">The Conflict Minerals Report of </w:t>
      </w:r>
      <w:r w:rsidR="00CF220A">
        <w:rPr>
          <w:sz w:val="20"/>
          <w:szCs w:val="20"/>
        </w:rPr>
        <w:t xml:space="preserve">Worthington </w:t>
      </w:r>
      <w:r w:rsidR="006B163C">
        <w:rPr>
          <w:sz w:val="20"/>
          <w:szCs w:val="20"/>
        </w:rPr>
        <w:t>Steel</w:t>
      </w:r>
      <w:r w:rsidR="00CF220A">
        <w:rPr>
          <w:sz w:val="20"/>
          <w:szCs w:val="20"/>
        </w:rPr>
        <w:t>, Inc. (the “Company”)</w:t>
      </w:r>
      <w:r>
        <w:rPr>
          <w:sz w:val="20"/>
          <w:szCs w:val="20"/>
        </w:rPr>
        <w:t xml:space="preserve"> for the cale</w:t>
      </w:r>
      <w:r w:rsidR="00D26E80">
        <w:rPr>
          <w:sz w:val="20"/>
          <w:szCs w:val="20"/>
        </w:rPr>
        <w:t>ndar year ended December 31, 202</w:t>
      </w:r>
      <w:r w:rsidR="00EF02A5">
        <w:rPr>
          <w:sz w:val="20"/>
          <w:szCs w:val="20"/>
        </w:rPr>
        <w:t>5</w:t>
      </w:r>
      <w:r w:rsidR="00D061B8">
        <w:rPr>
          <w:sz w:val="20"/>
          <w:szCs w:val="20"/>
        </w:rPr>
        <w:t>,</w:t>
      </w:r>
      <w:r>
        <w:rPr>
          <w:sz w:val="20"/>
          <w:szCs w:val="20"/>
        </w:rPr>
        <w:t xml:space="preserve"> is filed herewith as Exhibit 1.0</w:t>
      </w:r>
      <w:r w:rsidR="00DC5BFA">
        <w:rPr>
          <w:sz w:val="20"/>
          <w:szCs w:val="20"/>
        </w:rPr>
        <w:t>1</w:t>
      </w:r>
      <w:r>
        <w:rPr>
          <w:sz w:val="20"/>
          <w:szCs w:val="20"/>
        </w:rPr>
        <w:t xml:space="preserve"> to this specialized disclosure report.  The Conflict Minerals Report is also </w:t>
      </w:r>
      <w:r w:rsidRPr="00D061B8">
        <w:rPr>
          <w:sz w:val="20"/>
          <w:szCs w:val="20"/>
        </w:rPr>
        <w:t xml:space="preserve">available </w:t>
      </w:r>
      <w:r w:rsidRPr="00294C38">
        <w:rPr>
          <w:sz w:val="20"/>
          <w:szCs w:val="20"/>
        </w:rPr>
        <w:t>at:</w:t>
      </w:r>
      <w:r w:rsidR="00294C38" w:rsidRPr="00294C38">
        <w:t xml:space="preserve"> </w:t>
      </w:r>
      <w:hyperlink r:id="rId8" w:history="1">
        <w:r w:rsidR="00294C38" w:rsidRPr="000B5407">
          <w:rPr>
            <w:rStyle w:val="Hyperlink"/>
            <w:sz w:val="20"/>
            <w:szCs w:val="20"/>
          </w:rPr>
          <w:t>https://ir.worthingtonsteel.com/ir-home/default.aspx</w:t>
        </w:r>
      </w:hyperlink>
      <w:r w:rsidR="00294C38">
        <w:rPr>
          <w:sz w:val="20"/>
          <w:szCs w:val="20"/>
        </w:rPr>
        <w:t>.</w:t>
      </w:r>
      <w:r w:rsidR="00841719" w:rsidRPr="00294C38">
        <w:rPr>
          <w:sz w:val="20"/>
          <w:szCs w:val="20"/>
        </w:rPr>
        <w:t xml:space="preserve"> </w:t>
      </w:r>
      <w:r w:rsidRPr="00294C38">
        <w:rPr>
          <w:sz w:val="20"/>
          <w:szCs w:val="20"/>
        </w:rPr>
        <w:t>The</w:t>
      </w:r>
      <w:r w:rsidRPr="00D061B8">
        <w:rPr>
          <w:sz w:val="20"/>
          <w:szCs w:val="20"/>
        </w:rPr>
        <w:t xml:space="preserve"> website</w:t>
      </w:r>
      <w:r>
        <w:rPr>
          <w:sz w:val="20"/>
          <w:szCs w:val="20"/>
        </w:rPr>
        <w:t xml:space="preserve"> and the information accessible through it are not incorporated into this specialized disclosure report.  </w:t>
      </w:r>
    </w:p>
    <w:p w14:paraId="01B39194" w14:textId="77777777" w:rsidR="00BB792D" w:rsidRDefault="00CF220A">
      <w:pPr>
        <w:jc w:val="both"/>
        <w:rPr>
          <w:b/>
          <w:sz w:val="20"/>
          <w:szCs w:val="20"/>
        </w:rPr>
      </w:pPr>
      <w:r>
        <w:rPr>
          <w:b/>
          <w:sz w:val="20"/>
          <w:szCs w:val="20"/>
        </w:rPr>
        <w:t>Item 1.02 Exhibit</w:t>
      </w:r>
    </w:p>
    <w:p w14:paraId="60E47C08" w14:textId="1B99B9C2" w:rsidR="00BB792D" w:rsidRDefault="00CF220A">
      <w:pPr>
        <w:jc w:val="both"/>
        <w:rPr>
          <w:sz w:val="20"/>
          <w:szCs w:val="20"/>
        </w:rPr>
      </w:pPr>
      <w:r>
        <w:rPr>
          <w:sz w:val="20"/>
          <w:szCs w:val="20"/>
        </w:rPr>
        <w:t>See Exhibit 1.0</w:t>
      </w:r>
      <w:r w:rsidR="00DC5BFA">
        <w:rPr>
          <w:sz w:val="20"/>
          <w:szCs w:val="20"/>
        </w:rPr>
        <w:t>1</w:t>
      </w:r>
      <w:r>
        <w:rPr>
          <w:sz w:val="20"/>
          <w:szCs w:val="20"/>
        </w:rPr>
        <w:t xml:space="preserve"> </w:t>
      </w:r>
      <w:proofErr w:type="gramStart"/>
      <w:r>
        <w:rPr>
          <w:sz w:val="20"/>
          <w:szCs w:val="20"/>
        </w:rPr>
        <w:t>to</w:t>
      </w:r>
      <w:proofErr w:type="gramEnd"/>
      <w:r>
        <w:rPr>
          <w:sz w:val="20"/>
          <w:szCs w:val="20"/>
        </w:rPr>
        <w:t xml:space="preserve"> this specialized disclosure report, incorporated herein by reference.  </w:t>
      </w:r>
    </w:p>
    <w:p w14:paraId="17006D1B" w14:textId="77777777" w:rsidR="000A1B77" w:rsidRPr="000A1B77" w:rsidRDefault="000A1B77" w:rsidP="000A1B77">
      <w:pPr>
        <w:jc w:val="both"/>
        <w:rPr>
          <w:sz w:val="20"/>
          <w:szCs w:val="20"/>
        </w:rPr>
      </w:pPr>
      <w:r w:rsidRPr="000A1B77">
        <w:rPr>
          <w:b/>
          <w:bCs/>
          <w:sz w:val="20"/>
          <w:szCs w:val="20"/>
        </w:rPr>
        <w:t>Section 2 – Resource Extraction Issuer Disclosure</w:t>
      </w:r>
    </w:p>
    <w:p w14:paraId="1FE293DB" w14:textId="77777777" w:rsidR="000A1B77" w:rsidRPr="000A1B77" w:rsidRDefault="000A1B77" w:rsidP="000A1B77">
      <w:pPr>
        <w:jc w:val="both"/>
        <w:rPr>
          <w:sz w:val="20"/>
          <w:szCs w:val="20"/>
        </w:rPr>
      </w:pPr>
      <w:r w:rsidRPr="000A1B77">
        <w:rPr>
          <w:b/>
          <w:bCs/>
          <w:sz w:val="20"/>
          <w:szCs w:val="20"/>
        </w:rPr>
        <w:t>Item 2.01 Resource Extraction Issuer Disclosure and Report</w:t>
      </w:r>
    </w:p>
    <w:p w14:paraId="3CEC56F6" w14:textId="77777777" w:rsidR="000A1B77" w:rsidRPr="000A1B77" w:rsidRDefault="000A1B77" w:rsidP="000A1B77">
      <w:pPr>
        <w:jc w:val="both"/>
        <w:rPr>
          <w:sz w:val="20"/>
          <w:szCs w:val="20"/>
        </w:rPr>
      </w:pPr>
      <w:r w:rsidRPr="000A1B77">
        <w:rPr>
          <w:sz w:val="20"/>
          <w:szCs w:val="20"/>
        </w:rPr>
        <w:t>Not applicable.</w:t>
      </w:r>
    </w:p>
    <w:p w14:paraId="387731A0" w14:textId="606F6132" w:rsidR="00BB792D" w:rsidRDefault="00CF220A">
      <w:pPr>
        <w:rPr>
          <w:b/>
          <w:sz w:val="20"/>
          <w:szCs w:val="20"/>
        </w:rPr>
      </w:pPr>
      <w:r>
        <w:rPr>
          <w:b/>
          <w:sz w:val="20"/>
          <w:szCs w:val="20"/>
        </w:rPr>
        <w:t xml:space="preserve">Section </w:t>
      </w:r>
      <w:r w:rsidR="000A1B77">
        <w:rPr>
          <w:b/>
          <w:sz w:val="20"/>
          <w:szCs w:val="20"/>
        </w:rPr>
        <w:t>3</w:t>
      </w:r>
      <w:r>
        <w:rPr>
          <w:b/>
          <w:sz w:val="20"/>
          <w:szCs w:val="20"/>
        </w:rPr>
        <w:t xml:space="preserve"> – Exhibits</w:t>
      </w:r>
    </w:p>
    <w:p w14:paraId="4FB79520" w14:textId="4834F1AA" w:rsidR="00BB792D" w:rsidRDefault="00CF220A">
      <w:pPr>
        <w:rPr>
          <w:b/>
          <w:sz w:val="20"/>
          <w:szCs w:val="20"/>
        </w:rPr>
      </w:pPr>
      <w:r>
        <w:rPr>
          <w:b/>
          <w:sz w:val="20"/>
          <w:szCs w:val="20"/>
        </w:rPr>
        <w:t xml:space="preserve">Item </w:t>
      </w:r>
      <w:r w:rsidR="000A1B77">
        <w:rPr>
          <w:b/>
          <w:sz w:val="20"/>
          <w:szCs w:val="20"/>
        </w:rPr>
        <w:t>3</w:t>
      </w:r>
      <w:r>
        <w:rPr>
          <w:b/>
          <w:sz w:val="20"/>
          <w:szCs w:val="20"/>
        </w:rPr>
        <w:t>.01 Exhibits</w:t>
      </w:r>
    </w:p>
    <w:p w14:paraId="50E0C9D6" w14:textId="77777777" w:rsidR="00BB792D" w:rsidRDefault="00CF220A">
      <w:pPr>
        <w:rPr>
          <w:sz w:val="20"/>
          <w:szCs w:val="20"/>
        </w:rPr>
      </w:pPr>
      <w:r>
        <w:rPr>
          <w:sz w:val="20"/>
          <w:szCs w:val="20"/>
        </w:rPr>
        <w:t>Exhibit 1.0</w:t>
      </w:r>
      <w:r w:rsidR="00DC5BFA">
        <w:rPr>
          <w:sz w:val="20"/>
          <w:szCs w:val="20"/>
        </w:rPr>
        <w:t>1</w:t>
      </w:r>
      <w:r>
        <w:rPr>
          <w:sz w:val="20"/>
          <w:szCs w:val="20"/>
        </w:rPr>
        <w:tab/>
        <w:t>Conflict Minerals Report</w:t>
      </w:r>
    </w:p>
    <w:p w14:paraId="5AABEF15" w14:textId="77777777" w:rsidR="00BB792D" w:rsidRDefault="00CF220A">
      <w:pPr>
        <w:jc w:val="center"/>
        <w:rPr>
          <w:b/>
          <w:sz w:val="20"/>
          <w:szCs w:val="20"/>
        </w:rPr>
      </w:pPr>
      <w:r>
        <w:rPr>
          <w:b/>
          <w:sz w:val="20"/>
          <w:szCs w:val="20"/>
        </w:rPr>
        <w:t>SIGNATURES</w:t>
      </w:r>
    </w:p>
    <w:p w14:paraId="10FFD864" w14:textId="77777777" w:rsidR="00BB792D" w:rsidRDefault="00CF220A">
      <w:pPr>
        <w:rPr>
          <w:sz w:val="20"/>
          <w:szCs w:val="20"/>
        </w:rPr>
      </w:pPr>
      <w:r>
        <w:rPr>
          <w:sz w:val="20"/>
          <w:szCs w:val="20"/>
        </w:rPr>
        <w:tab/>
        <w:t xml:space="preserve">Pursuant to the requirements of the Securities Exchange Act of 1934, the registrant has duly caused this report to be signed on its behalf by the duly authorized undersigned. </w:t>
      </w:r>
    </w:p>
    <w:p w14:paraId="421D2D0D" w14:textId="538B4097" w:rsidR="00BB792D" w:rsidRDefault="00CF220A">
      <w:pPr>
        <w:spacing w:after="0"/>
        <w:rPr>
          <w:b/>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 xml:space="preserve">WORTHINGTON </w:t>
      </w:r>
      <w:r w:rsidR="006B163C">
        <w:rPr>
          <w:b/>
          <w:sz w:val="20"/>
          <w:szCs w:val="20"/>
        </w:rPr>
        <w:t>STEEL</w:t>
      </w:r>
      <w:r>
        <w:rPr>
          <w:b/>
          <w:sz w:val="20"/>
          <w:szCs w:val="20"/>
        </w:rPr>
        <w:t xml:space="preserve">, INC. </w:t>
      </w:r>
    </w:p>
    <w:p w14:paraId="74561274" w14:textId="77777777" w:rsidR="00BB792D" w:rsidRDefault="00BB792D">
      <w:pPr>
        <w:spacing w:after="0"/>
        <w:rPr>
          <w:b/>
          <w:sz w:val="20"/>
          <w:szCs w:val="20"/>
        </w:rPr>
      </w:pPr>
    </w:p>
    <w:p w14:paraId="250ED7F7" w14:textId="77777777" w:rsidR="00BB792D" w:rsidRDefault="00BB792D">
      <w:pPr>
        <w:spacing w:after="0"/>
        <w:rPr>
          <w:sz w:val="20"/>
          <w:szCs w:val="20"/>
        </w:rPr>
      </w:pPr>
    </w:p>
    <w:p w14:paraId="457FE0E4" w14:textId="77777777" w:rsidR="00BB792D" w:rsidRDefault="00BB792D">
      <w:pPr>
        <w:spacing w:after="0"/>
        <w:rPr>
          <w:sz w:val="20"/>
          <w:szCs w:val="20"/>
        </w:rPr>
      </w:pPr>
    </w:p>
    <w:p w14:paraId="55E37394" w14:textId="4807BE4E" w:rsidR="00BB792D" w:rsidRPr="00FF438A" w:rsidRDefault="00CF220A">
      <w:pPr>
        <w:spacing w:after="0"/>
        <w:rPr>
          <w:sz w:val="20"/>
          <w:szCs w:val="20"/>
          <w:u w:val="single"/>
        </w:rPr>
      </w:pPr>
      <w:r w:rsidRPr="00926D33">
        <w:rPr>
          <w:sz w:val="20"/>
          <w:szCs w:val="20"/>
        </w:rPr>
        <w:t>Date:  May</w:t>
      </w:r>
      <w:r w:rsidR="00323384" w:rsidRPr="00926D33">
        <w:rPr>
          <w:sz w:val="20"/>
          <w:szCs w:val="20"/>
        </w:rPr>
        <w:t xml:space="preserve"> </w:t>
      </w:r>
      <w:r w:rsidR="00EF02A5">
        <w:rPr>
          <w:sz w:val="20"/>
          <w:szCs w:val="20"/>
        </w:rPr>
        <w:t>29</w:t>
      </w:r>
      <w:r w:rsidRPr="00926D33">
        <w:rPr>
          <w:sz w:val="20"/>
          <w:szCs w:val="20"/>
        </w:rPr>
        <w:t xml:space="preserve">, </w:t>
      </w:r>
      <w:proofErr w:type="gramStart"/>
      <w:r w:rsidRPr="00926D33">
        <w:rPr>
          <w:sz w:val="20"/>
          <w:szCs w:val="20"/>
        </w:rPr>
        <w:t>20</w:t>
      </w:r>
      <w:r w:rsidR="00594DFE" w:rsidRPr="00926D33">
        <w:rPr>
          <w:sz w:val="20"/>
          <w:szCs w:val="20"/>
        </w:rPr>
        <w:t>2</w:t>
      </w:r>
      <w:r w:rsidR="000359BE">
        <w:rPr>
          <w:sz w:val="20"/>
          <w:szCs w:val="20"/>
        </w:rPr>
        <w:t>6</w:t>
      </w:r>
      <w:proofErr w:type="gramEnd"/>
      <w:r w:rsidRPr="00FF438A">
        <w:rPr>
          <w:sz w:val="20"/>
          <w:szCs w:val="20"/>
        </w:rPr>
        <w:tab/>
      </w:r>
      <w:r w:rsidRPr="00FF438A">
        <w:rPr>
          <w:sz w:val="20"/>
          <w:szCs w:val="20"/>
        </w:rPr>
        <w:tab/>
      </w:r>
      <w:r w:rsidRPr="00FF438A">
        <w:rPr>
          <w:sz w:val="20"/>
          <w:szCs w:val="20"/>
        </w:rPr>
        <w:tab/>
      </w:r>
      <w:r w:rsidRPr="00FF438A">
        <w:rPr>
          <w:sz w:val="20"/>
          <w:szCs w:val="20"/>
        </w:rPr>
        <w:tab/>
      </w:r>
      <w:r w:rsidRPr="00FF438A">
        <w:rPr>
          <w:sz w:val="20"/>
          <w:szCs w:val="20"/>
        </w:rPr>
        <w:tab/>
        <w:t xml:space="preserve">By:  </w:t>
      </w:r>
      <w:r w:rsidR="00145F35" w:rsidRPr="00FF438A">
        <w:rPr>
          <w:sz w:val="20"/>
          <w:szCs w:val="20"/>
          <w:u w:val="single"/>
        </w:rPr>
        <w:t xml:space="preserve">/s/ </w:t>
      </w:r>
      <w:r w:rsidR="00841719" w:rsidRPr="00841719">
        <w:rPr>
          <w:sz w:val="20"/>
          <w:szCs w:val="20"/>
          <w:u w:val="single"/>
        </w:rPr>
        <w:t>Joseph Y. Heuer</w:t>
      </w:r>
      <w:r w:rsidR="0002660B" w:rsidRPr="00FF438A">
        <w:rPr>
          <w:sz w:val="20"/>
          <w:szCs w:val="20"/>
          <w:u w:val="single"/>
        </w:rPr>
        <w:tab/>
      </w:r>
      <w:r w:rsidR="0002660B" w:rsidRPr="00FF438A">
        <w:rPr>
          <w:sz w:val="20"/>
          <w:szCs w:val="20"/>
          <w:u w:val="single"/>
        </w:rPr>
        <w:tab/>
      </w:r>
      <w:r w:rsidR="0002660B" w:rsidRPr="00FF438A">
        <w:rPr>
          <w:sz w:val="20"/>
          <w:szCs w:val="20"/>
          <w:u w:val="single"/>
        </w:rPr>
        <w:tab/>
      </w:r>
      <w:r w:rsidR="00FF438A">
        <w:rPr>
          <w:sz w:val="20"/>
          <w:szCs w:val="20"/>
          <w:u w:val="single"/>
        </w:rPr>
        <w:tab/>
      </w:r>
    </w:p>
    <w:p w14:paraId="11D5CC0F" w14:textId="61234DEE" w:rsidR="00BB792D" w:rsidRPr="00FF438A" w:rsidRDefault="00CF220A">
      <w:pPr>
        <w:spacing w:after="0"/>
        <w:rPr>
          <w:sz w:val="20"/>
          <w:szCs w:val="20"/>
        </w:rPr>
      </w:pPr>
      <w:r w:rsidRPr="00FF438A">
        <w:rPr>
          <w:sz w:val="20"/>
          <w:szCs w:val="20"/>
        </w:rPr>
        <w:tab/>
      </w:r>
      <w:r w:rsidRPr="00FF438A">
        <w:rPr>
          <w:sz w:val="20"/>
          <w:szCs w:val="20"/>
        </w:rPr>
        <w:tab/>
      </w:r>
      <w:r w:rsidRPr="00FF438A">
        <w:rPr>
          <w:sz w:val="20"/>
          <w:szCs w:val="20"/>
        </w:rPr>
        <w:tab/>
      </w:r>
      <w:r w:rsidRPr="00FF438A">
        <w:rPr>
          <w:sz w:val="20"/>
          <w:szCs w:val="20"/>
        </w:rPr>
        <w:tab/>
      </w:r>
      <w:r w:rsidRPr="00FF438A">
        <w:rPr>
          <w:sz w:val="20"/>
          <w:szCs w:val="20"/>
        </w:rPr>
        <w:tab/>
      </w:r>
      <w:r w:rsidRPr="00FF438A">
        <w:rPr>
          <w:sz w:val="20"/>
          <w:szCs w:val="20"/>
        </w:rPr>
        <w:tab/>
      </w:r>
      <w:r w:rsidRPr="00FF438A">
        <w:rPr>
          <w:sz w:val="20"/>
          <w:szCs w:val="20"/>
        </w:rPr>
        <w:tab/>
      </w:r>
      <w:r w:rsidRPr="00FF438A">
        <w:rPr>
          <w:sz w:val="20"/>
          <w:szCs w:val="20"/>
        </w:rPr>
        <w:tab/>
      </w:r>
      <w:r w:rsidR="00841719" w:rsidRPr="00841719">
        <w:rPr>
          <w:sz w:val="20"/>
          <w:szCs w:val="20"/>
        </w:rPr>
        <w:t>Joseph Y. Heuer</w:t>
      </w:r>
    </w:p>
    <w:p w14:paraId="52022660" w14:textId="77777777" w:rsidR="00BB792D" w:rsidRDefault="00CF220A" w:rsidP="00C159A9">
      <w:pPr>
        <w:spacing w:after="0"/>
        <w:ind w:left="5760"/>
        <w:jc w:val="both"/>
        <w:rPr>
          <w:sz w:val="20"/>
          <w:szCs w:val="20"/>
        </w:rPr>
      </w:pPr>
      <w:r w:rsidRPr="00FF438A">
        <w:rPr>
          <w:sz w:val="20"/>
          <w:szCs w:val="20"/>
        </w:rPr>
        <w:t>Vice President</w:t>
      </w:r>
      <w:r w:rsidR="00FF438A" w:rsidRPr="00FF438A">
        <w:rPr>
          <w:sz w:val="20"/>
          <w:szCs w:val="20"/>
        </w:rPr>
        <w:t xml:space="preserve"> – General Counsel and Secretary</w:t>
      </w:r>
      <w:r>
        <w:rPr>
          <w:sz w:val="20"/>
          <w:szCs w:val="20"/>
        </w:rPr>
        <w:t xml:space="preserve"> </w:t>
      </w:r>
    </w:p>
    <w:p w14:paraId="5661B5BB" w14:textId="77777777" w:rsidR="00BB792D" w:rsidRDefault="00BB792D">
      <w:pPr>
        <w:rPr>
          <w:sz w:val="20"/>
          <w:szCs w:val="20"/>
        </w:rPr>
      </w:pPr>
    </w:p>
    <w:p w14:paraId="7D85BDB1" w14:textId="77777777" w:rsidR="00BB792D" w:rsidRDefault="00BB792D">
      <w:pPr>
        <w:spacing w:after="0"/>
        <w:jc w:val="both"/>
        <w:rPr>
          <w:b/>
        </w:rPr>
      </w:pPr>
    </w:p>
    <w:p w14:paraId="0ECB2BAF" w14:textId="77777777" w:rsidR="00BB792D" w:rsidRDefault="00CF220A">
      <w:pPr>
        <w:rPr>
          <w:b/>
        </w:rPr>
      </w:pPr>
      <w:r>
        <w:rPr>
          <w:b/>
        </w:rPr>
        <w:br w:type="page"/>
      </w:r>
    </w:p>
    <w:p w14:paraId="2357A022" w14:textId="77777777" w:rsidR="00BB792D" w:rsidRDefault="00CF220A">
      <w:pPr>
        <w:spacing w:after="0"/>
        <w:jc w:val="both"/>
        <w:rPr>
          <w:b/>
          <w:sz w:val="20"/>
          <w:szCs w:val="20"/>
        </w:rPr>
      </w:pPr>
      <w:r>
        <w:rPr>
          <w:b/>
          <w:sz w:val="20"/>
          <w:szCs w:val="20"/>
        </w:rPr>
        <w:lastRenderedPageBreak/>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Exhibit 1.0</w:t>
      </w:r>
      <w:r w:rsidR="00DC5BFA">
        <w:rPr>
          <w:b/>
          <w:sz w:val="20"/>
          <w:szCs w:val="20"/>
        </w:rPr>
        <w:t>1</w:t>
      </w:r>
    </w:p>
    <w:p w14:paraId="73A6FDBB" w14:textId="77777777" w:rsidR="00BB792D" w:rsidRDefault="00BB792D">
      <w:pPr>
        <w:rPr>
          <w:b/>
          <w:sz w:val="20"/>
          <w:szCs w:val="20"/>
        </w:rPr>
      </w:pPr>
    </w:p>
    <w:p w14:paraId="6860F6C7" w14:textId="77777777" w:rsidR="00BB792D" w:rsidRDefault="00CF220A">
      <w:pPr>
        <w:spacing w:after="0"/>
        <w:jc w:val="center"/>
        <w:rPr>
          <w:b/>
          <w:sz w:val="20"/>
          <w:szCs w:val="20"/>
        </w:rPr>
      </w:pPr>
      <w:r>
        <w:rPr>
          <w:b/>
          <w:sz w:val="20"/>
          <w:szCs w:val="20"/>
        </w:rPr>
        <w:t>CONFLICT MINERALS REPORT</w:t>
      </w:r>
    </w:p>
    <w:p w14:paraId="6AE81645" w14:textId="77777777" w:rsidR="00BB792D" w:rsidRDefault="00BB792D">
      <w:pPr>
        <w:spacing w:after="0"/>
        <w:jc w:val="center"/>
        <w:rPr>
          <w:b/>
          <w:sz w:val="20"/>
          <w:szCs w:val="20"/>
        </w:rPr>
      </w:pPr>
    </w:p>
    <w:p w14:paraId="64AB3712" w14:textId="77777777" w:rsidR="0088767C" w:rsidRPr="0088767C" w:rsidRDefault="0088767C">
      <w:pPr>
        <w:jc w:val="both"/>
        <w:rPr>
          <w:b/>
          <w:sz w:val="20"/>
          <w:szCs w:val="20"/>
        </w:rPr>
      </w:pPr>
      <w:r w:rsidRPr="0088767C">
        <w:rPr>
          <w:b/>
          <w:sz w:val="20"/>
          <w:szCs w:val="20"/>
        </w:rPr>
        <w:t>Introduction</w:t>
      </w:r>
      <w:r w:rsidR="00CF220A" w:rsidRPr="0088767C">
        <w:rPr>
          <w:b/>
          <w:sz w:val="20"/>
          <w:szCs w:val="20"/>
        </w:rPr>
        <w:tab/>
      </w:r>
    </w:p>
    <w:p w14:paraId="176C9DDC" w14:textId="4C9E7492" w:rsidR="006F538E" w:rsidRDefault="00CF220A" w:rsidP="00B73738">
      <w:pPr>
        <w:ind w:firstLine="720"/>
        <w:jc w:val="both"/>
        <w:rPr>
          <w:sz w:val="20"/>
          <w:szCs w:val="20"/>
        </w:rPr>
      </w:pPr>
      <w:r>
        <w:rPr>
          <w:sz w:val="20"/>
          <w:szCs w:val="20"/>
        </w:rPr>
        <w:t>This Conflict Minerals Report of Worthington</w:t>
      </w:r>
      <w:r w:rsidR="00C7348A">
        <w:rPr>
          <w:sz w:val="20"/>
          <w:szCs w:val="20"/>
        </w:rPr>
        <w:t xml:space="preserve"> </w:t>
      </w:r>
      <w:r w:rsidR="00BD51B5">
        <w:rPr>
          <w:sz w:val="20"/>
          <w:szCs w:val="20"/>
        </w:rPr>
        <w:t>Steel</w:t>
      </w:r>
      <w:r>
        <w:rPr>
          <w:sz w:val="20"/>
          <w:szCs w:val="20"/>
        </w:rPr>
        <w:t>, Inc. (</w:t>
      </w:r>
      <w:r w:rsidR="00670750">
        <w:rPr>
          <w:sz w:val="20"/>
          <w:szCs w:val="20"/>
        </w:rPr>
        <w:t xml:space="preserve">together with its consolidated subsidiaries, </w:t>
      </w:r>
      <w:r>
        <w:rPr>
          <w:sz w:val="20"/>
          <w:szCs w:val="20"/>
        </w:rPr>
        <w:t xml:space="preserve">the “Company”) for </w:t>
      </w:r>
      <w:r w:rsidR="0093246E">
        <w:rPr>
          <w:sz w:val="20"/>
          <w:szCs w:val="20"/>
        </w:rPr>
        <w:t xml:space="preserve">the </w:t>
      </w:r>
      <w:r>
        <w:rPr>
          <w:sz w:val="20"/>
          <w:szCs w:val="20"/>
        </w:rPr>
        <w:t xml:space="preserve">calendar year </w:t>
      </w:r>
      <w:r w:rsidR="0093246E">
        <w:rPr>
          <w:sz w:val="20"/>
          <w:szCs w:val="20"/>
        </w:rPr>
        <w:t xml:space="preserve">ended December 31, </w:t>
      </w:r>
      <w:r>
        <w:rPr>
          <w:sz w:val="20"/>
          <w:szCs w:val="20"/>
        </w:rPr>
        <w:t>20</w:t>
      </w:r>
      <w:r w:rsidR="00D26E80">
        <w:rPr>
          <w:sz w:val="20"/>
          <w:szCs w:val="20"/>
        </w:rPr>
        <w:t>2</w:t>
      </w:r>
      <w:r w:rsidR="000359BE">
        <w:rPr>
          <w:sz w:val="20"/>
          <w:szCs w:val="20"/>
        </w:rPr>
        <w:t>5</w:t>
      </w:r>
      <w:r>
        <w:rPr>
          <w:sz w:val="20"/>
          <w:szCs w:val="20"/>
        </w:rPr>
        <w:t xml:space="preserve"> </w:t>
      </w:r>
      <w:r w:rsidR="004C2AA1">
        <w:rPr>
          <w:sz w:val="20"/>
          <w:szCs w:val="20"/>
        </w:rPr>
        <w:t xml:space="preserve">(“Reporting Period”) </w:t>
      </w:r>
      <w:r>
        <w:rPr>
          <w:sz w:val="20"/>
          <w:szCs w:val="20"/>
        </w:rPr>
        <w:t xml:space="preserve">is filed pursuant to Rule 13p-1 (the “Rule”) under the Securities Exchange Act of 1934. </w:t>
      </w:r>
      <w:r w:rsidR="006F538E">
        <w:rPr>
          <w:sz w:val="20"/>
          <w:szCs w:val="20"/>
        </w:rPr>
        <w:t xml:space="preserve"> </w:t>
      </w:r>
      <w:r w:rsidR="00BD51B5" w:rsidRPr="00447F58">
        <w:rPr>
          <w:sz w:val="20"/>
          <w:szCs w:val="20"/>
        </w:rPr>
        <w:t xml:space="preserve">The Company is a value-added </w:t>
      </w:r>
      <w:r w:rsidR="00447F58" w:rsidRPr="00447F58">
        <w:rPr>
          <w:sz w:val="20"/>
          <w:szCs w:val="20"/>
        </w:rPr>
        <w:t xml:space="preserve">steel </w:t>
      </w:r>
      <w:r w:rsidR="00BD51B5" w:rsidRPr="00447F58">
        <w:rPr>
          <w:sz w:val="20"/>
          <w:szCs w:val="20"/>
        </w:rPr>
        <w:t>processor with the ability to provide a diversified range of products and services that span a variety of end market</w:t>
      </w:r>
      <w:r w:rsidR="00EF02A5" w:rsidRPr="00447F58">
        <w:rPr>
          <w:sz w:val="20"/>
          <w:szCs w:val="20"/>
        </w:rPr>
        <w:t>s</w:t>
      </w:r>
      <w:r w:rsidR="00BD51B5" w:rsidRPr="00447F58">
        <w:rPr>
          <w:sz w:val="20"/>
          <w:szCs w:val="20"/>
        </w:rPr>
        <w:t xml:space="preserve"> including automotive, heavy truck, agriculture, construction, and energy. The Company maintains market leading positions in the North American carbon flat-rolled steel and tailor welded blank industries and is one of the largest global producers of electrical steel laminations. The Company processes flat-rolled steel coils, which it sources primarily from various North American steel mills, into the precise type, thickness, length, width, shape, and surface quality required by customer specifications. The Company also sells steel on a direct basis</w:t>
      </w:r>
      <w:r w:rsidR="006F538E" w:rsidRPr="00447F58">
        <w:rPr>
          <w:sz w:val="20"/>
          <w:szCs w:val="20"/>
        </w:rPr>
        <w:t>.</w:t>
      </w:r>
      <w:r w:rsidR="00B73738" w:rsidRPr="005146B1">
        <w:rPr>
          <w:sz w:val="20"/>
          <w:szCs w:val="20"/>
        </w:rPr>
        <w:t xml:space="preserve"> </w:t>
      </w:r>
      <w:r w:rsidR="005146B1" w:rsidRPr="005146B1">
        <w:rPr>
          <w:sz w:val="20"/>
          <w:szCs w:val="20"/>
        </w:rPr>
        <w:t xml:space="preserve"> </w:t>
      </w:r>
    </w:p>
    <w:p w14:paraId="3CF0BF1D" w14:textId="0D42200D" w:rsidR="00EB753E" w:rsidRDefault="00CF220A" w:rsidP="00D061B8">
      <w:pPr>
        <w:ind w:firstLine="720"/>
        <w:jc w:val="both"/>
        <w:rPr>
          <w:sz w:val="20"/>
          <w:szCs w:val="20"/>
        </w:rPr>
      </w:pPr>
      <w:r>
        <w:rPr>
          <w:sz w:val="20"/>
          <w:szCs w:val="20"/>
        </w:rPr>
        <w:t xml:space="preserve">In accordance with the Rule, the Company identified products that </w:t>
      </w:r>
      <w:r w:rsidR="00E608F1">
        <w:rPr>
          <w:sz w:val="20"/>
          <w:szCs w:val="20"/>
        </w:rPr>
        <w:t xml:space="preserve">it believes </w:t>
      </w:r>
      <w:r w:rsidR="004521EF">
        <w:rPr>
          <w:sz w:val="20"/>
          <w:szCs w:val="20"/>
        </w:rPr>
        <w:t xml:space="preserve">may </w:t>
      </w:r>
      <w:r>
        <w:rPr>
          <w:sz w:val="20"/>
          <w:szCs w:val="20"/>
        </w:rPr>
        <w:t xml:space="preserve">contain tin, tantalum, tungsten or gold (“Conflict Minerals”) that were manufactured by or on behalf of the Company during the </w:t>
      </w:r>
      <w:r w:rsidR="003B0D6C">
        <w:rPr>
          <w:sz w:val="20"/>
          <w:szCs w:val="20"/>
        </w:rPr>
        <w:t xml:space="preserve">Reporting Period </w:t>
      </w:r>
      <w:r>
        <w:rPr>
          <w:sz w:val="20"/>
          <w:szCs w:val="20"/>
        </w:rPr>
        <w:t xml:space="preserve">(the “Covered Products”), and undertook a reasonable country of origin inquiry </w:t>
      </w:r>
      <w:r w:rsidR="0088767C">
        <w:rPr>
          <w:sz w:val="20"/>
          <w:szCs w:val="20"/>
        </w:rPr>
        <w:t xml:space="preserve">(“RCOI”) </w:t>
      </w:r>
      <w:r>
        <w:rPr>
          <w:sz w:val="20"/>
          <w:szCs w:val="20"/>
        </w:rPr>
        <w:t xml:space="preserve">to ascertain whether any Conflict Minerals in its Covered Products originated in the Democratic Republic of the Congo or an adjoining country (each, a “Covered Country”).  </w:t>
      </w:r>
      <w:r w:rsidR="0088767C">
        <w:rPr>
          <w:sz w:val="20"/>
          <w:szCs w:val="20"/>
        </w:rPr>
        <w:t xml:space="preserve">Based on the information received by the Company </w:t>
      </w:r>
      <w:proofErr w:type="gramStart"/>
      <w:r w:rsidR="0088767C">
        <w:rPr>
          <w:sz w:val="20"/>
          <w:szCs w:val="20"/>
        </w:rPr>
        <w:t>as a result of</w:t>
      </w:r>
      <w:proofErr w:type="gramEnd"/>
      <w:r w:rsidR="0088767C">
        <w:rPr>
          <w:sz w:val="20"/>
          <w:szCs w:val="20"/>
        </w:rPr>
        <w:t xml:space="preserve"> the RCOI, the Company determined that it is required by the Rule to </w:t>
      </w:r>
      <w:r w:rsidR="00D67ECB">
        <w:rPr>
          <w:sz w:val="20"/>
          <w:szCs w:val="20"/>
        </w:rPr>
        <w:t xml:space="preserve">undertake due diligence </w:t>
      </w:r>
      <w:r w:rsidR="003B0D6C">
        <w:rPr>
          <w:sz w:val="20"/>
          <w:szCs w:val="20"/>
        </w:rPr>
        <w:t>with respect to th</w:t>
      </w:r>
      <w:r w:rsidR="00C36918">
        <w:rPr>
          <w:sz w:val="20"/>
          <w:szCs w:val="20"/>
        </w:rPr>
        <w:t>e</w:t>
      </w:r>
      <w:r w:rsidR="003B0D6C">
        <w:rPr>
          <w:sz w:val="20"/>
          <w:szCs w:val="20"/>
        </w:rPr>
        <w:t xml:space="preserve"> Conflict Minerals </w:t>
      </w:r>
      <w:r w:rsidR="004521EF">
        <w:rPr>
          <w:sz w:val="20"/>
          <w:szCs w:val="20"/>
        </w:rPr>
        <w:t xml:space="preserve">contained in its Covered Products </w:t>
      </w:r>
      <w:r w:rsidR="00D67ECB">
        <w:rPr>
          <w:sz w:val="20"/>
          <w:szCs w:val="20"/>
        </w:rPr>
        <w:t xml:space="preserve">and </w:t>
      </w:r>
      <w:r w:rsidR="0088767C">
        <w:rPr>
          <w:sz w:val="20"/>
          <w:szCs w:val="20"/>
        </w:rPr>
        <w:t xml:space="preserve">file this Conflict Minerals Report.  </w:t>
      </w:r>
      <w:r w:rsidR="004C2AA1">
        <w:rPr>
          <w:sz w:val="20"/>
          <w:szCs w:val="20"/>
        </w:rPr>
        <w:t>The due diligence undertaken by the Company</w:t>
      </w:r>
      <w:r w:rsidR="00D67ECB">
        <w:rPr>
          <w:sz w:val="20"/>
          <w:szCs w:val="20"/>
        </w:rPr>
        <w:t xml:space="preserve"> </w:t>
      </w:r>
      <w:r w:rsidR="00B80987">
        <w:rPr>
          <w:sz w:val="20"/>
          <w:szCs w:val="20"/>
        </w:rPr>
        <w:t xml:space="preserve">(including the RCOI) </w:t>
      </w:r>
      <w:r w:rsidR="00D67ECB">
        <w:rPr>
          <w:sz w:val="20"/>
          <w:szCs w:val="20"/>
        </w:rPr>
        <w:t xml:space="preserve">and </w:t>
      </w:r>
      <w:r w:rsidR="004C2AA1">
        <w:rPr>
          <w:sz w:val="20"/>
          <w:szCs w:val="20"/>
        </w:rPr>
        <w:t>the results of that due diligence</w:t>
      </w:r>
      <w:r w:rsidR="00D67ECB">
        <w:rPr>
          <w:sz w:val="20"/>
          <w:szCs w:val="20"/>
        </w:rPr>
        <w:t xml:space="preserve"> </w:t>
      </w:r>
      <w:r w:rsidR="00EB753E">
        <w:rPr>
          <w:sz w:val="20"/>
          <w:szCs w:val="20"/>
        </w:rPr>
        <w:t xml:space="preserve">are set forth below.  </w:t>
      </w:r>
    </w:p>
    <w:p w14:paraId="7AE08C3B" w14:textId="77777777" w:rsidR="00BB792D" w:rsidRDefault="00CF220A">
      <w:pPr>
        <w:jc w:val="both"/>
        <w:rPr>
          <w:b/>
          <w:sz w:val="20"/>
          <w:szCs w:val="20"/>
        </w:rPr>
      </w:pPr>
      <w:r>
        <w:rPr>
          <w:b/>
          <w:sz w:val="20"/>
          <w:szCs w:val="20"/>
        </w:rPr>
        <w:t xml:space="preserve">Part I.  </w:t>
      </w:r>
      <w:r w:rsidR="00EB753E">
        <w:rPr>
          <w:b/>
          <w:sz w:val="20"/>
          <w:szCs w:val="20"/>
        </w:rPr>
        <w:t xml:space="preserve">Description of </w:t>
      </w:r>
      <w:r>
        <w:rPr>
          <w:b/>
          <w:sz w:val="20"/>
          <w:szCs w:val="20"/>
        </w:rPr>
        <w:t>Due Diligence</w:t>
      </w:r>
      <w:r w:rsidR="00EB753E">
        <w:rPr>
          <w:b/>
          <w:sz w:val="20"/>
          <w:szCs w:val="20"/>
        </w:rPr>
        <w:t xml:space="preserve"> Undertake</w:t>
      </w:r>
      <w:r w:rsidR="005F6B87">
        <w:rPr>
          <w:b/>
          <w:sz w:val="20"/>
          <w:szCs w:val="20"/>
        </w:rPr>
        <w:t>n</w:t>
      </w:r>
      <w:r w:rsidR="00EB753E">
        <w:rPr>
          <w:b/>
          <w:sz w:val="20"/>
          <w:szCs w:val="20"/>
        </w:rPr>
        <w:t xml:space="preserve"> by the Company</w:t>
      </w:r>
      <w:r>
        <w:rPr>
          <w:b/>
          <w:sz w:val="20"/>
          <w:szCs w:val="20"/>
        </w:rPr>
        <w:t xml:space="preserve">.  </w:t>
      </w:r>
    </w:p>
    <w:p w14:paraId="1370A554" w14:textId="77777777" w:rsidR="00BB792D" w:rsidRDefault="00CF220A">
      <w:pPr>
        <w:jc w:val="both"/>
        <w:rPr>
          <w:sz w:val="20"/>
          <w:szCs w:val="20"/>
        </w:rPr>
      </w:pPr>
      <w:r>
        <w:rPr>
          <w:sz w:val="20"/>
          <w:szCs w:val="20"/>
        </w:rPr>
        <w:tab/>
        <w:t>The Company has performed due diligence on the source of the Conflict Minerals contained in the Covered Products</w:t>
      </w:r>
      <w:r w:rsidR="00EB753E">
        <w:rPr>
          <w:sz w:val="20"/>
          <w:szCs w:val="20"/>
        </w:rPr>
        <w:t xml:space="preserve"> within the framework of the </w:t>
      </w:r>
      <w:r w:rsidR="00DF52D2" w:rsidRPr="00DF52D2">
        <w:rPr>
          <w:i/>
          <w:sz w:val="20"/>
          <w:szCs w:val="20"/>
        </w:rPr>
        <w:t>O</w:t>
      </w:r>
      <w:r w:rsidR="00EB753E" w:rsidRPr="00DF52D2">
        <w:rPr>
          <w:i/>
          <w:sz w:val="20"/>
          <w:szCs w:val="20"/>
        </w:rPr>
        <w:t>ECD Due Diligence Guidance for Responsible Supply Chains of Minerals from Conflict-Affected and High</w:t>
      </w:r>
      <w:r w:rsidR="00DF52D2" w:rsidRPr="00DF52D2">
        <w:rPr>
          <w:i/>
          <w:sz w:val="20"/>
          <w:szCs w:val="20"/>
        </w:rPr>
        <w:t>-</w:t>
      </w:r>
      <w:r w:rsidR="00EB753E" w:rsidRPr="00DF52D2">
        <w:rPr>
          <w:i/>
          <w:sz w:val="20"/>
          <w:szCs w:val="20"/>
        </w:rPr>
        <w:t>Risk Areas</w:t>
      </w:r>
      <w:r w:rsidR="00EB753E">
        <w:rPr>
          <w:sz w:val="20"/>
          <w:szCs w:val="20"/>
        </w:rPr>
        <w:t xml:space="preserve"> </w:t>
      </w:r>
      <w:r w:rsidR="00ED6A37">
        <w:rPr>
          <w:sz w:val="20"/>
          <w:szCs w:val="20"/>
        </w:rPr>
        <w:t xml:space="preserve">(the “Framework”) </w:t>
      </w:r>
      <w:r w:rsidR="00EB753E">
        <w:rPr>
          <w:sz w:val="20"/>
          <w:szCs w:val="20"/>
        </w:rPr>
        <w:t xml:space="preserve">as required by the Rule.  </w:t>
      </w:r>
      <w:r w:rsidR="0093246E">
        <w:rPr>
          <w:sz w:val="20"/>
          <w:szCs w:val="20"/>
        </w:rPr>
        <w:t>T</w:t>
      </w:r>
      <w:r w:rsidR="00ED6A37">
        <w:rPr>
          <w:sz w:val="20"/>
          <w:szCs w:val="20"/>
        </w:rPr>
        <w:t>he Company</w:t>
      </w:r>
      <w:r w:rsidR="0093246E">
        <w:rPr>
          <w:sz w:val="20"/>
          <w:szCs w:val="20"/>
        </w:rPr>
        <w:t>’s</w:t>
      </w:r>
      <w:r w:rsidR="00ED6A37">
        <w:rPr>
          <w:sz w:val="20"/>
          <w:szCs w:val="20"/>
        </w:rPr>
        <w:t xml:space="preserve"> Conflict Minerals due diligence procedures </w:t>
      </w:r>
      <w:r w:rsidR="003B0D6C">
        <w:rPr>
          <w:sz w:val="20"/>
          <w:szCs w:val="20"/>
        </w:rPr>
        <w:t xml:space="preserve">are </w:t>
      </w:r>
      <w:r w:rsidR="00EB753E">
        <w:rPr>
          <w:sz w:val="20"/>
          <w:szCs w:val="20"/>
        </w:rPr>
        <w:t>summarized below</w:t>
      </w:r>
      <w:r w:rsidR="003B0D6C">
        <w:rPr>
          <w:sz w:val="20"/>
          <w:szCs w:val="20"/>
        </w:rPr>
        <w:t xml:space="preserve"> within each category specified by the Framework</w:t>
      </w:r>
      <w:r>
        <w:rPr>
          <w:sz w:val="20"/>
          <w:szCs w:val="20"/>
        </w:rPr>
        <w:t xml:space="preserve">.  </w:t>
      </w:r>
    </w:p>
    <w:p w14:paraId="63833E96" w14:textId="77777777" w:rsidR="00ED6A37" w:rsidRDefault="00CF220A">
      <w:pPr>
        <w:jc w:val="both"/>
        <w:rPr>
          <w:b/>
          <w:i/>
          <w:sz w:val="20"/>
          <w:szCs w:val="20"/>
        </w:rPr>
      </w:pPr>
      <w:r>
        <w:rPr>
          <w:b/>
          <w:i/>
          <w:sz w:val="20"/>
          <w:szCs w:val="20"/>
        </w:rPr>
        <w:tab/>
        <w:t>1.</w:t>
      </w:r>
      <w:r>
        <w:rPr>
          <w:b/>
          <w:i/>
          <w:sz w:val="20"/>
          <w:szCs w:val="20"/>
        </w:rPr>
        <w:tab/>
      </w:r>
      <w:r w:rsidR="00ED6A37">
        <w:rPr>
          <w:b/>
          <w:i/>
          <w:sz w:val="20"/>
          <w:szCs w:val="20"/>
        </w:rPr>
        <w:t xml:space="preserve">Establish Strong Company Management Systems. </w:t>
      </w:r>
    </w:p>
    <w:p w14:paraId="3D04EDBD" w14:textId="1AB292F8" w:rsidR="00ED6A37" w:rsidRDefault="00CF220A">
      <w:pPr>
        <w:jc w:val="both"/>
        <w:rPr>
          <w:sz w:val="20"/>
          <w:szCs w:val="20"/>
        </w:rPr>
      </w:pPr>
      <w:r>
        <w:rPr>
          <w:sz w:val="20"/>
          <w:szCs w:val="20"/>
        </w:rPr>
        <w:tab/>
      </w:r>
      <w:r>
        <w:rPr>
          <w:sz w:val="20"/>
          <w:szCs w:val="20"/>
        </w:rPr>
        <w:tab/>
        <w:t>1.1.</w:t>
      </w:r>
      <w:r>
        <w:rPr>
          <w:sz w:val="20"/>
          <w:szCs w:val="20"/>
        </w:rPr>
        <w:tab/>
      </w:r>
      <w:r w:rsidR="00ED6A37">
        <w:rPr>
          <w:sz w:val="20"/>
          <w:szCs w:val="20"/>
        </w:rPr>
        <w:t xml:space="preserve">The </w:t>
      </w:r>
      <w:r>
        <w:rPr>
          <w:sz w:val="20"/>
          <w:szCs w:val="20"/>
        </w:rPr>
        <w:t>Company</w:t>
      </w:r>
      <w:r w:rsidR="0093246E">
        <w:rPr>
          <w:sz w:val="20"/>
          <w:szCs w:val="20"/>
        </w:rPr>
        <w:t xml:space="preserve"> has a written Conflict Minerals </w:t>
      </w:r>
      <w:r w:rsidR="00ED6A37">
        <w:rPr>
          <w:sz w:val="20"/>
          <w:szCs w:val="20"/>
        </w:rPr>
        <w:t xml:space="preserve">policy </w:t>
      </w:r>
      <w:r w:rsidR="0093246E">
        <w:rPr>
          <w:sz w:val="20"/>
          <w:szCs w:val="20"/>
        </w:rPr>
        <w:t xml:space="preserve">(the “Policy”) under which </w:t>
      </w:r>
      <w:r w:rsidR="00ED6A37">
        <w:rPr>
          <w:sz w:val="20"/>
          <w:szCs w:val="20"/>
        </w:rPr>
        <w:t>it does not knowingly purchase Conflict Minerals that finance or benefit armed groups in the Covered Countries</w:t>
      </w:r>
      <w:r w:rsidR="0093246E">
        <w:rPr>
          <w:sz w:val="20"/>
          <w:szCs w:val="20"/>
        </w:rPr>
        <w:t xml:space="preserve">.  As stated in the Policy, the Company </w:t>
      </w:r>
      <w:r w:rsidR="00ED6A37">
        <w:rPr>
          <w:sz w:val="20"/>
          <w:szCs w:val="20"/>
        </w:rPr>
        <w:t xml:space="preserve">expects its suppliers to conduct due diligence to ascertain the source of </w:t>
      </w:r>
      <w:r w:rsidR="00B80987">
        <w:rPr>
          <w:sz w:val="20"/>
          <w:szCs w:val="20"/>
        </w:rPr>
        <w:t xml:space="preserve">any </w:t>
      </w:r>
      <w:r w:rsidR="00ED6A37">
        <w:rPr>
          <w:sz w:val="20"/>
          <w:szCs w:val="20"/>
        </w:rPr>
        <w:t xml:space="preserve">Conflict Minerals supplied to the Company.  </w:t>
      </w:r>
    </w:p>
    <w:p w14:paraId="01213F0F" w14:textId="3E4E139C" w:rsidR="00BB792D" w:rsidRDefault="00CF220A">
      <w:pPr>
        <w:jc w:val="both"/>
        <w:rPr>
          <w:sz w:val="20"/>
          <w:szCs w:val="20"/>
        </w:rPr>
      </w:pPr>
      <w:r>
        <w:rPr>
          <w:sz w:val="20"/>
          <w:szCs w:val="20"/>
        </w:rPr>
        <w:tab/>
      </w:r>
      <w:r>
        <w:rPr>
          <w:sz w:val="20"/>
          <w:szCs w:val="20"/>
        </w:rPr>
        <w:tab/>
        <w:t>1.2</w:t>
      </w:r>
      <w:r>
        <w:rPr>
          <w:sz w:val="20"/>
          <w:szCs w:val="20"/>
        </w:rPr>
        <w:tab/>
      </w:r>
      <w:r w:rsidR="00CC556D">
        <w:rPr>
          <w:sz w:val="20"/>
          <w:szCs w:val="20"/>
        </w:rPr>
        <w:t>The Company also has written Conflict Minerals procedures (“Procedures”) under which c</w:t>
      </w:r>
      <w:r w:rsidR="00A97B1E">
        <w:rPr>
          <w:sz w:val="20"/>
          <w:szCs w:val="20"/>
        </w:rPr>
        <w:t xml:space="preserve">ertain </w:t>
      </w:r>
      <w:r w:rsidR="00DF52D2">
        <w:rPr>
          <w:sz w:val="20"/>
          <w:szCs w:val="20"/>
        </w:rPr>
        <w:t xml:space="preserve">Company </w:t>
      </w:r>
      <w:r>
        <w:rPr>
          <w:sz w:val="20"/>
          <w:szCs w:val="20"/>
        </w:rPr>
        <w:t xml:space="preserve">managers </w:t>
      </w:r>
      <w:r w:rsidR="0093246E">
        <w:rPr>
          <w:sz w:val="20"/>
          <w:szCs w:val="20"/>
        </w:rPr>
        <w:t xml:space="preserve">are designated </w:t>
      </w:r>
      <w:r w:rsidR="008244DD">
        <w:rPr>
          <w:sz w:val="20"/>
          <w:szCs w:val="20"/>
        </w:rPr>
        <w:t xml:space="preserve">to serve on a </w:t>
      </w:r>
      <w:proofErr w:type="gramStart"/>
      <w:r w:rsidR="008244DD">
        <w:rPr>
          <w:sz w:val="20"/>
          <w:szCs w:val="20"/>
        </w:rPr>
        <w:t>conflict minerals</w:t>
      </w:r>
      <w:proofErr w:type="gramEnd"/>
      <w:r w:rsidR="008244DD">
        <w:rPr>
          <w:sz w:val="20"/>
          <w:szCs w:val="20"/>
        </w:rPr>
        <w:t xml:space="preserve"> </w:t>
      </w:r>
      <w:r w:rsidR="005F6B87">
        <w:rPr>
          <w:sz w:val="20"/>
          <w:szCs w:val="20"/>
        </w:rPr>
        <w:t>working group (“C</w:t>
      </w:r>
      <w:r w:rsidR="00856097">
        <w:rPr>
          <w:sz w:val="20"/>
          <w:szCs w:val="20"/>
        </w:rPr>
        <w:t>MWG</w:t>
      </w:r>
      <w:r w:rsidR="005F6B87">
        <w:rPr>
          <w:sz w:val="20"/>
          <w:szCs w:val="20"/>
        </w:rPr>
        <w:t>”)</w:t>
      </w:r>
      <w:r w:rsidR="008244DD">
        <w:rPr>
          <w:sz w:val="20"/>
          <w:szCs w:val="20"/>
        </w:rPr>
        <w:t xml:space="preserve">.  The </w:t>
      </w:r>
      <w:r w:rsidR="005F6B87">
        <w:rPr>
          <w:sz w:val="20"/>
          <w:szCs w:val="20"/>
        </w:rPr>
        <w:t>C</w:t>
      </w:r>
      <w:r w:rsidR="00856097">
        <w:rPr>
          <w:sz w:val="20"/>
          <w:szCs w:val="20"/>
        </w:rPr>
        <w:t>MWG</w:t>
      </w:r>
      <w:r w:rsidR="008244DD">
        <w:rPr>
          <w:sz w:val="20"/>
          <w:szCs w:val="20"/>
        </w:rPr>
        <w:t xml:space="preserve"> has </w:t>
      </w:r>
      <w:r>
        <w:rPr>
          <w:sz w:val="20"/>
          <w:szCs w:val="20"/>
        </w:rPr>
        <w:t>the responsibility for overseeing</w:t>
      </w:r>
      <w:r w:rsidR="008244DD">
        <w:rPr>
          <w:sz w:val="20"/>
          <w:szCs w:val="20"/>
        </w:rPr>
        <w:t>, reviewing</w:t>
      </w:r>
      <w:r>
        <w:rPr>
          <w:sz w:val="20"/>
          <w:szCs w:val="20"/>
        </w:rPr>
        <w:t xml:space="preserve"> and implementing </w:t>
      </w:r>
      <w:r w:rsidR="008244DD">
        <w:rPr>
          <w:sz w:val="20"/>
          <w:szCs w:val="20"/>
        </w:rPr>
        <w:t xml:space="preserve">the </w:t>
      </w:r>
      <w:r w:rsidR="003B0D6C">
        <w:rPr>
          <w:sz w:val="20"/>
          <w:szCs w:val="20"/>
        </w:rPr>
        <w:t xml:space="preserve">Conflict Minerals </w:t>
      </w:r>
      <w:r>
        <w:rPr>
          <w:sz w:val="20"/>
          <w:szCs w:val="20"/>
        </w:rPr>
        <w:t xml:space="preserve">supply chain due diligence </w:t>
      </w:r>
      <w:r w:rsidR="003B0D6C">
        <w:rPr>
          <w:sz w:val="20"/>
          <w:szCs w:val="20"/>
        </w:rPr>
        <w:t xml:space="preserve">required by the Rule </w:t>
      </w:r>
      <w:r w:rsidR="008244DD" w:rsidRPr="00294C38">
        <w:rPr>
          <w:sz w:val="20"/>
          <w:szCs w:val="20"/>
        </w:rPr>
        <w:t xml:space="preserve">and reporting periodically to the </w:t>
      </w:r>
      <w:r w:rsidR="00294C38" w:rsidRPr="00294C38">
        <w:rPr>
          <w:sz w:val="20"/>
          <w:szCs w:val="20"/>
        </w:rPr>
        <w:t xml:space="preserve">Company’s General Counsel.  </w:t>
      </w:r>
      <w:r>
        <w:rPr>
          <w:sz w:val="20"/>
          <w:szCs w:val="20"/>
        </w:rPr>
        <w:t xml:space="preserve">  </w:t>
      </w:r>
    </w:p>
    <w:p w14:paraId="737CDC4B" w14:textId="1F94775B" w:rsidR="00BB792D" w:rsidRDefault="00CF220A">
      <w:pPr>
        <w:jc w:val="both"/>
        <w:rPr>
          <w:sz w:val="20"/>
          <w:szCs w:val="20"/>
        </w:rPr>
      </w:pPr>
      <w:r>
        <w:rPr>
          <w:sz w:val="20"/>
          <w:szCs w:val="20"/>
        </w:rPr>
        <w:tab/>
      </w:r>
      <w:r>
        <w:rPr>
          <w:sz w:val="20"/>
          <w:szCs w:val="20"/>
        </w:rPr>
        <w:tab/>
        <w:t>1.3</w:t>
      </w:r>
      <w:r>
        <w:rPr>
          <w:sz w:val="20"/>
          <w:szCs w:val="20"/>
        </w:rPr>
        <w:tab/>
        <w:t>The Company</w:t>
      </w:r>
      <w:r w:rsidR="008265C8">
        <w:rPr>
          <w:sz w:val="20"/>
          <w:szCs w:val="20"/>
        </w:rPr>
        <w:t xml:space="preserve"> has </w:t>
      </w:r>
      <w:r>
        <w:rPr>
          <w:sz w:val="20"/>
          <w:szCs w:val="20"/>
        </w:rPr>
        <w:t xml:space="preserve">identified </w:t>
      </w:r>
      <w:r w:rsidR="003B0D6C">
        <w:rPr>
          <w:sz w:val="20"/>
          <w:szCs w:val="20"/>
        </w:rPr>
        <w:t xml:space="preserve">its </w:t>
      </w:r>
      <w:r>
        <w:rPr>
          <w:sz w:val="20"/>
          <w:szCs w:val="20"/>
        </w:rPr>
        <w:t xml:space="preserve">Covered Products and the suppliers who supply such Covered Products or components or materials that </w:t>
      </w:r>
      <w:r w:rsidR="00A7191C">
        <w:rPr>
          <w:sz w:val="20"/>
          <w:szCs w:val="20"/>
        </w:rPr>
        <w:t xml:space="preserve">may </w:t>
      </w:r>
      <w:r>
        <w:rPr>
          <w:sz w:val="20"/>
          <w:szCs w:val="20"/>
        </w:rPr>
        <w:t xml:space="preserve">contain Conflict Minerals that are </w:t>
      </w:r>
      <w:r w:rsidR="00954951">
        <w:rPr>
          <w:sz w:val="20"/>
          <w:szCs w:val="20"/>
        </w:rPr>
        <w:t>contained i</w:t>
      </w:r>
      <w:r>
        <w:rPr>
          <w:sz w:val="20"/>
          <w:szCs w:val="20"/>
        </w:rPr>
        <w:t xml:space="preserve">n Covered Products (“Covered Suppliers”). </w:t>
      </w:r>
      <w:r w:rsidR="003B0D6C">
        <w:rPr>
          <w:sz w:val="20"/>
          <w:szCs w:val="20"/>
        </w:rPr>
        <w:t xml:space="preserve"> The </w:t>
      </w:r>
      <w:r w:rsidR="0093246E">
        <w:rPr>
          <w:sz w:val="20"/>
          <w:szCs w:val="20"/>
        </w:rPr>
        <w:t>P</w:t>
      </w:r>
      <w:r w:rsidR="00CC556D">
        <w:rPr>
          <w:sz w:val="20"/>
          <w:szCs w:val="20"/>
        </w:rPr>
        <w:t xml:space="preserve">rocedures </w:t>
      </w:r>
      <w:r w:rsidR="003B0D6C">
        <w:rPr>
          <w:sz w:val="20"/>
          <w:szCs w:val="20"/>
        </w:rPr>
        <w:t xml:space="preserve">require periodic reviews </w:t>
      </w:r>
      <w:r w:rsidR="002004DE">
        <w:rPr>
          <w:sz w:val="20"/>
          <w:szCs w:val="20"/>
        </w:rPr>
        <w:t xml:space="preserve">and updates of </w:t>
      </w:r>
      <w:r w:rsidR="003B0D6C">
        <w:rPr>
          <w:sz w:val="20"/>
          <w:szCs w:val="20"/>
        </w:rPr>
        <w:t>the Covered Products and Covered Suppliers</w:t>
      </w:r>
      <w:r w:rsidR="0093246E">
        <w:rPr>
          <w:sz w:val="20"/>
          <w:szCs w:val="20"/>
        </w:rPr>
        <w:t xml:space="preserve">.  </w:t>
      </w:r>
      <w:r w:rsidR="00495FDA">
        <w:rPr>
          <w:sz w:val="20"/>
          <w:szCs w:val="20"/>
        </w:rPr>
        <w:t xml:space="preserve">  </w:t>
      </w:r>
      <w:r w:rsidR="003B0D6C">
        <w:rPr>
          <w:sz w:val="20"/>
          <w:szCs w:val="20"/>
        </w:rPr>
        <w:t xml:space="preserve"> </w:t>
      </w:r>
    </w:p>
    <w:p w14:paraId="181C0BC8" w14:textId="6CBAFFA4" w:rsidR="005F3F34" w:rsidRDefault="00CF220A">
      <w:pPr>
        <w:jc w:val="both"/>
        <w:rPr>
          <w:sz w:val="20"/>
          <w:szCs w:val="20"/>
        </w:rPr>
      </w:pPr>
      <w:r>
        <w:rPr>
          <w:sz w:val="20"/>
          <w:szCs w:val="20"/>
        </w:rPr>
        <w:tab/>
      </w:r>
      <w:r>
        <w:rPr>
          <w:sz w:val="20"/>
          <w:szCs w:val="20"/>
        </w:rPr>
        <w:tab/>
        <w:t>1.4</w:t>
      </w:r>
      <w:r>
        <w:rPr>
          <w:sz w:val="20"/>
          <w:szCs w:val="20"/>
        </w:rPr>
        <w:tab/>
        <w:t xml:space="preserve">The </w:t>
      </w:r>
      <w:r w:rsidR="008244DD">
        <w:rPr>
          <w:sz w:val="20"/>
          <w:szCs w:val="20"/>
        </w:rPr>
        <w:t>P</w:t>
      </w:r>
      <w:r w:rsidR="00CC556D">
        <w:rPr>
          <w:sz w:val="20"/>
          <w:szCs w:val="20"/>
        </w:rPr>
        <w:t xml:space="preserve">rocedures </w:t>
      </w:r>
      <w:r w:rsidR="008244DD">
        <w:rPr>
          <w:sz w:val="20"/>
          <w:szCs w:val="20"/>
        </w:rPr>
        <w:t xml:space="preserve">require that </w:t>
      </w:r>
      <w:r w:rsidR="000204C1">
        <w:rPr>
          <w:sz w:val="20"/>
          <w:szCs w:val="20"/>
        </w:rPr>
        <w:t>the Company</w:t>
      </w:r>
      <w:r w:rsidR="008244DD">
        <w:rPr>
          <w:sz w:val="20"/>
          <w:szCs w:val="20"/>
        </w:rPr>
        <w:t xml:space="preserve"> contact its </w:t>
      </w:r>
      <w:r>
        <w:rPr>
          <w:sz w:val="20"/>
          <w:szCs w:val="20"/>
        </w:rPr>
        <w:t xml:space="preserve">Covered Suppliers </w:t>
      </w:r>
      <w:r w:rsidR="008244DD">
        <w:rPr>
          <w:sz w:val="20"/>
          <w:szCs w:val="20"/>
        </w:rPr>
        <w:t xml:space="preserve">annually to </w:t>
      </w:r>
      <w:r w:rsidR="00A97B1E">
        <w:rPr>
          <w:sz w:val="20"/>
          <w:szCs w:val="20"/>
        </w:rPr>
        <w:t xml:space="preserve">complete a </w:t>
      </w:r>
      <w:r w:rsidR="00E478DA">
        <w:rPr>
          <w:sz w:val="20"/>
          <w:szCs w:val="20"/>
        </w:rPr>
        <w:t>Conflict Minerals Reporting Template (“CMRT”)</w:t>
      </w:r>
      <w:r w:rsidR="00CC3CC9">
        <w:rPr>
          <w:sz w:val="20"/>
          <w:szCs w:val="20"/>
        </w:rPr>
        <w:t xml:space="preserve"> </w:t>
      </w:r>
      <w:r w:rsidR="000421A8">
        <w:rPr>
          <w:sz w:val="20"/>
          <w:szCs w:val="20"/>
        </w:rPr>
        <w:t xml:space="preserve">in the form </w:t>
      </w:r>
      <w:r w:rsidR="001E4C69">
        <w:rPr>
          <w:sz w:val="20"/>
          <w:szCs w:val="20"/>
        </w:rPr>
        <w:t>maintained by the Responsible Minerals Initiative (“RMI”)</w:t>
      </w:r>
      <w:r w:rsidR="00CC3CC9">
        <w:rPr>
          <w:sz w:val="20"/>
          <w:szCs w:val="20"/>
        </w:rPr>
        <w:t xml:space="preserve">.  </w:t>
      </w:r>
    </w:p>
    <w:p w14:paraId="06FCB148" w14:textId="7EB7E460" w:rsidR="00E478DA" w:rsidRDefault="00E478DA">
      <w:pPr>
        <w:jc w:val="both"/>
        <w:rPr>
          <w:sz w:val="20"/>
          <w:szCs w:val="20"/>
        </w:rPr>
      </w:pPr>
      <w:r>
        <w:rPr>
          <w:sz w:val="20"/>
          <w:szCs w:val="20"/>
        </w:rPr>
        <w:lastRenderedPageBreak/>
        <w:tab/>
      </w:r>
      <w:r>
        <w:rPr>
          <w:sz w:val="20"/>
          <w:szCs w:val="20"/>
        </w:rPr>
        <w:tab/>
        <w:t>1.5</w:t>
      </w:r>
      <w:r>
        <w:rPr>
          <w:sz w:val="20"/>
          <w:szCs w:val="20"/>
        </w:rPr>
        <w:tab/>
        <w:t xml:space="preserve">The Company </w:t>
      </w:r>
      <w:r w:rsidR="002004DE">
        <w:rPr>
          <w:sz w:val="20"/>
          <w:szCs w:val="20"/>
        </w:rPr>
        <w:t>collects and</w:t>
      </w:r>
      <w:r w:rsidR="000204C1">
        <w:rPr>
          <w:sz w:val="20"/>
          <w:szCs w:val="20"/>
        </w:rPr>
        <w:t xml:space="preserve"> </w:t>
      </w:r>
      <w:r w:rsidR="004521EF">
        <w:rPr>
          <w:sz w:val="20"/>
          <w:szCs w:val="20"/>
        </w:rPr>
        <w:t xml:space="preserve">centrally </w:t>
      </w:r>
      <w:r>
        <w:rPr>
          <w:sz w:val="20"/>
          <w:szCs w:val="20"/>
        </w:rPr>
        <w:t xml:space="preserve">maintains the </w:t>
      </w:r>
      <w:r w:rsidR="00DF52D2">
        <w:rPr>
          <w:sz w:val="20"/>
          <w:szCs w:val="20"/>
        </w:rPr>
        <w:t xml:space="preserve">completed </w:t>
      </w:r>
      <w:r w:rsidR="00CC3CC9">
        <w:rPr>
          <w:sz w:val="20"/>
          <w:szCs w:val="20"/>
        </w:rPr>
        <w:t>CMRTs</w:t>
      </w:r>
      <w:r>
        <w:rPr>
          <w:sz w:val="20"/>
          <w:szCs w:val="20"/>
        </w:rPr>
        <w:t xml:space="preserve"> received by </w:t>
      </w:r>
      <w:r w:rsidR="000204C1">
        <w:rPr>
          <w:sz w:val="20"/>
          <w:szCs w:val="20"/>
        </w:rPr>
        <w:t>the Company</w:t>
      </w:r>
      <w:r>
        <w:rPr>
          <w:sz w:val="20"/>
          <w:szCs w:val="20"/>
        </w:rPr>
        <w:t xml:space="preserve"> from </w:t>
      </w:r>
      <w:r w:rsidR="002004DE">
        <w:rPr>
          <w:sz w:val="20"/>
          <w:szCs w:val="20"/>
        </w:rPr>
        <w:t xml:space="preserve">the </w:t>
      </w:r>
      <w:r w:rsidR="008265C8">
        <w:rPr>
          <w:sz w:val="20"/>
          <w:szCs w:val="20"/>
        </w:rPr>
        <w:t xml:space="preserve">Covered Suppliers.  </w:t>
      </w:r>
    </w:p>
    <w:p w14:paraId="077AEF9B" w14:textId="77777777" w:rsidR="0049752D" w:rsidRDefault="00CF220A">
      <w:pPr>
        <w:jc w:val="both"/>
        <w:rPr>
          <w:b/>
          <w:i/>
          <w:sz w:val="20"/>
          <w:szCs w:val="20"/>
        </w:rPr>
      </w:pPr>
      <w:r>
        <w:rPr>
          <w:b/>
          <w:i/>
          <w:sz w:val="20"/>
          <w:szCs w:val="20"/>
        </w:rPr>
        <w:tab/>
        <w:t>2.</w:t>
      </w:r>
      <w:r>
        <w:rPr>
          <w:b/>
          <w:i/>
          <w:sz w:val="20"/>
          <w:szCs w:val="20"/>
        </w:rPr>
        <w:tab/>
      </w:r>
      <w:r w:rsidR="0049752D">
        <w:rPr>
          <w:b/>
          <w:i/>
          <w:sz w:val="20"/>
          <w:szCs w:val="20"/>
        </w:rPr>
        <w:t>Identify and Assess Risk in the Supply Chain.</w:t>
      </w:r>
    </w:p>
    <w:p w14:paraId="1246D3E5" w14:textId="3DB068C0" w:rsidR="0049752D" w:rsidRDefault="0049752D">
      <w:pPr>
        <w:jc w:val="both"/>
        <w:rPr>
          <w:sz w:val="20"/>
          <w:szCs w:val="20"/>
        </w:rPr>
      </w:pPr>
      <w:r>
        <w:rPr>
          <w:sz w:val="20"/>
          <w:szCs w:val="20"/>
        </w:rPr>
        <w:tab/>
      </w:r>
      <w:r w:rsidR="000204C1">
        <w:rPr>
          <w:sz w:val="20"/>
          <w:szCs w:val="20"/>
        </w:rPr>
        <w:t xml:space="preserve">The Company </w:t>
      </w:r>
      <w:r>
        <w:rPr>
          <w:sz w:val="20"/>
          <w:szCs w:val="20"/>
        </w:rPr>
        <w:t>review</w:t>
      </w:r>
      <w:r w:rsidR="000204C1">
        <w:rPr>
          <w:sz w:val="20"/>
          <w:szCs w:val="20"/>
        </w:rPr>
        <w:t>s</w:t>
      </w:r>
      <w:r>
        <w:rPr>
          <w:sz w:val="20"/>
          <w:szCs w:val="20"/>
        </w:rPr>
        <w:t xml:space="preserve"> </w:t>
      </w:r>
      <w:r w:rsidR="00EC26EF">
        <w:rPr>
          <w:sz w:val="20"/>
          <w:szCs w:val="20"/>
        </w:rPr>
        <w:t xml:space="preserve">each </w:t>
      </w:r>
      <w:r w:rsidR="00CC3CC9">
        <w:rPr>
          <w:sz w:val="20"/>
          <w:szCs w:val="20"/>
        </w:rPr>
        <w:t>CMRT</w:t>
      </w:r>
      <w:r w:rsidR="00EC26EF">
        <w:rPr>
          <w:sz w:val="20"/>
          <w:szCs w:val="20"/>
        </w:rPr>
        <w:t xml:space="preserve"> </w:t>
      </w:r>
      <w:r w:rsidR="00E96A00">
        <w:rPr>
          <w:sz w:val="20"/>
          <w:szCs w:val="20"/>
        </w:rPr>
        <w:t>received from i</w:t>
      </w:r>
      <w:r w:rsidR="00EC26EF">
        <w:rPr>
          <w:sz w:val="20"/>
          <w:szCs w:val="20"/>
        </w:rPr>
        <w:t>ts Covered Suppliers</w:t>
      </w:r>
      <w:r w:rsidR="00CC3CC9">
        <w:rPr>
          <w:sz w:val="20"/>
          <w:szCs w:val="20"/>
        </w:rPr>
        <w:t xml:space="preserve"> </w:t>
      </w:r>
      <w:r>
        <w:rPr>
          <w:sz w:val="20"/>
          <w:szCs w:val="20"/>
        </w:rPr>
        <w:t xml:space="preserve">to ascertain (a) </w:t>
      </w:r>
      <w:r w:rsidR="00CC3CC9">
        <w:rPr>
          <w:sz w:val="20"/>
          <w:szCs w:val="20"/>
        </w:rPr>
        <w:t xml:space="preserve">whether </w:t>
      </w:r>
      <w:r w:rsidR="00E478DA">
        <w:rPr>
          <w:sz w:val="20"/>
          <w:szCs w:val="20"/>
        </w:rPr>
        <w:t xml:space="preserve">the </w:t>
      </w:r>
      <w:r w:rsidR="00CC3CC9">
        <w:rPr>
          <w:sz w:val="20"/>
          <w:szCs w:val="20"/>
        </w:rPr>
        <w:t xml:space="preserve">CMRT </w:t>
      </w:r>
      <w:r>
        <w:rPr>
          <w:sz w:val="20"/>
          <w:szCs w:val="20"/>
        </w:rPr>
        <w:t xml:space="preserve">is complete, (b) </w:t>
      </w:r>
      <w:r w:rsidR="00CC3CC9">
        <w:rPr>
          <w:sz w:val="20"/>
          <w:szCs w:val="20"/>
        </w:rPr>
        <w:t xml:space="preserve">whether </w:t>
      </w:r>
      <w:r w:rsidR="00E478DA">
        <w:rPr>
          <w:sz w:val="20"/>
          <w:szCs w:val="20"/>
        </w:rPr>
        <w:t xml:space="preserve">the </w:t>
      </w:r>
      <w:r w:rsidR="00CC3CC9">
        <w:rPr>
          <w:sz w:val="20"/>
          <w:szCs w:val="20"/>
        </w:rPr>
        <w:t>CMRT</w:t>
      </w:r>
      <w:r w:rsidR="00856097">
        <w:rPr>
          <w:sz w:val="20"/>
          <w:szCs w:val="20"/>
        </w:rPr>
        <w:t xml:space="preserve"> </w:t>
      </w:r>
      <w:r>
        <w:rPr>
          <w:sz w:val="20"/>
          <w:szCs w:val="20"/>
        </w:rPr>
        <w:t>is consistent with the Company’s understanding of the materials, products or components supplied by the Covered Supplier, (</w:t>
      </w:r>
      <w:r w:rsidR="00CC3CC9">
        <w:rPr>
          <w:sz w:val="20"/>
          <w:szCs w:val="20"/>
        </w:rPr>
        <w:t>c</w:t>
      </w:r>
      <w:r>
        <w:rPr>
          <w:sz w:val="20"/>
          <w:szCs w:val="20"/>
        </w:rPr>
        <w:t xml:space="preserve">) </w:t>
      </w:r>
      <w:r w:rsidR="00CC3CC9">
        <w:rPr>
          <w:sz w:val="20"/>
          <w:szCs w:val="20"/>
        </w:rPr>
        <w:t xml:space="preserve">whether the Covered Supplier indicates that </w:t>
      </w:r>
      <w:r>
        <w:rPr>
          <w:sz w:val="20"/>
          <w:szCs w:val="20"/>
        </w:rPr>
        <w:t>the Conflict Minerals are sourced from a Covered Country</w:t>
      </w:r>
      <w:r w:rsidR="00CC3CC9">
        <w:rPr>
          <w:sz w:val="20"/>
          <w:szCs w:val="20"/>
        </w:rPr>
        <w:t xml:space="preserve"> or are from scrap or recycled sources, and (d) whether the Covered Supplier has identified the smelter</w:t>
      </w:r>
      <w:r w:rsidR="00E96A00">
        <w:rPr>
          <w:sz w:val="20"/>
          <w:szCs w:val="20"/>
        </w:rPr>
        <w:t>s</w:t>
      </w:r>
      <w:r w:rsidR="00CC3CC9">
        <w:rPr>
          <w:sz w:val="20"/>
          <w:szCs w:val="20"/>
        </w:rPr>
        <w:t>, processor</w:t>
      </w:r>
      <w:r w:rsidR="00E96A00">
        <w:rPr>
          <w:sz w:val="20"/>
          <w:szCs w:val="20"/>
        </w:rPr>
        <w:t>s</w:t>
      </w:r>
      <w:r w:rsidR="00CC3CC9">
        <w:rPr>
          <w:sz w:val="20"/>
          <w:szCs w:val="20"/>
        </w:rPr>
        <w:t xml:space="preserve"> or refiner</w:t>
      </w:r>
      <w:r w:rsidR="00E96A00">
        <w:rPr>
          <w:sz w:val="20"/>
          <w:szCs w:val="20"/>
        </w:rPr>
        <w:t>s of its Conflict Minerals</w:t>
      </w:r>
      <w:r w:rsidR="00CC3CC9">
        <w:rPr>
          <w:sz w:val="20"/>
          <w:szCs w:val="20"/>
        </w:rPr>
        <w:t xml:space="preserve">.  </w:t>
      </w:r>
      <w:r w:rsidR="00954951">
        <w:rPr>
          <w:sz w:val="20"/>
          <w:szCs w:val="20"/>
        </w:rPr>
        <w:t xml:space="preserve">The Company </w:t>
      </w:r>
      <w:r w:rsidR="00130D0C">
        <w:rPr>
          <w:sz w:val="20"/>
          <w:szCs w:val="20"/>
        </w:rPr>
        <w:t xml:space="preserve">has Procedures to </w:t>
      </w:r>
      <w:r w:rsidR="00954951">
        <w:rPr>
          <w:sz w:val="20"/>
          <w:szCs w:val="20"/>
        </w:rPr>
        <w:t xml:space="preserve">follow up with </w:t>
      </w:r>
      <w:r w:rsidR="00C67E53">
        <w:rPr>
          <w:sz w:val="20"/>
          <w:szCs w:val="20"/>
        </w:rPr>
        <w:t>Covered S</w:t>
      </w:r>
      <w:r w:rsidR="00954951">
        <w:rPr>
          <w:sz w:val="20"/>
          <w:szCs w:val="20"/>
        </w:rPr>
        <w:t xml:space="preserve">uppliers who are unresponsive.  </w:t>
      </w:r>
    </w:p>
    <w:p w14:paraId="423BAFB7" w14:textId="77777777" w:rsidR="0049752D" w:rsidRPr="0049752D" w:rsidRDefault="0049752D">
      <w:pPr>
        <w:jc w:val="both"/>
        <w:rPr>
          <w:b/>
          <w:i/>
          <w:sz w:val="20"/>
          <w:szCs w:val="20"/>
        </w:rPr>
      </w:pPr>
      <w:r w:rsidRPr="0049752D">
        <w:rPr>
          <w:b/>
          <w:i/>
          <w:sz w:val="20"/>
          <w:szCs w:val="20"/>
        </w:rPr>
        <w:tab/>
        <w:t>3.</w:t>
      </w:r>
      <w:r w:rsidRPr="0049752D">
        <w:rPr>
          <w:b/>
          <w:i/>
          <w:sz w:val="20"/>
          <w:szCs w:val="20"/>
        </w:rPr>
        <w:tab/>
        <w:t xml:space="preserve">Strategy to Respond to Identified Risks.  </w:t>
      </w:r>
    </w:p>
    <w:p w14:paraId="06D0C9D0" w14:textId="71ABB74D" w:rsidR="0049752D" w:rsidRDefault="0049752D" w:rsidP="0049752D">
      <w:pPr>
        <w:jc w:val="both"/>
        <w:rPr>
          <w:sz w:val="20"/>
          <w:szCs w:val="20"/>
        </w:rPr>
      </w:pPr>
      <w:r>
        <w:rPr>
          <w:b/>
          <w:i/>
          <w:sz w:val="20"/>
          <w:szCs w:val="20"/>
        </w:rPr>
        <w:tab/>
      </w:r>
      <w:r w:rsidR="00856097">
        <w:rPr>
          <w:sz w:val="20"/>
          <w:szCs w:val="20"/>
        </w:rPr>
        <w:t>The CMWG designates individual</w:t>
      </w:r>
      <w:r w:rsidR="00B80987">
        <w:rPr>
          <w:sz w:val="20"/>
          <w:szCs w:val="20"/>
        </w:rPr>
        <w:t>s</w:t>
      </w:r>
      <w:r w:rsidR="00856097">
        <w:rPr>
          <w:sz w:val="20"/>
          <w:szCs w:val="20"/>
        </w:rPr>
        <w:t xml:space="preserve"> who are </w:t>
      </w:r>
      <w:r>
        <w:rPr>
          <w:sz w:val="20"/>
          <w:szCs w:val="20"/>
        </w:rPr>
        <w:t xml:space="preserve">responsible for </w:t>
      </w:r>
      <w:r w:rsidR="000204C1">
        <w:rPr>
          <w:sz w:val="20"/>
          <w:szCs w:val="20"/>
        </w:rPr>
        <w:t xml:space="preserve">initial </w:t>
      </w:r>
      <w:r>
        <w:rPr>
          <w:sz w:val="20"/>
          <w:szCs w:val="20"/>
        </w:rPr>
        <w:t>follow</w:t>
      </w:r>
      <w:r w:rsidR="00E556B8">
        <w:rPr>
          <w:sz w:val="20"/>
          <w:szCs w:val="20"/>
        </w:rPr>
        <w:t>-</w:t>
      </w:r>
      <w:r>
        <w:rPr>
          <w:sz w:val="20"/>
          <w:szCs w:val="20"/>
        </w:rPr>
        <w:t xml:space="preserve">up Covered Suppliers who refuse </w:t>
      </w:r>
      <w:r w:rsidR="00EC26EF">
        <w:rPr>
          <w:sz w:val="20"/>
          <w:szCs w:val="20"/>
        </w:rPr>
        <w:t xml:space="preserve">or fail to provide a CMRT </w:t>
      </w:r>
      <w:r>
        <w:rPr>
          <w:sz w:val="20"/>
          <w:szCs w:val="20"/>
        </w:rPr>
        <w:t xml:space="preserve">or whose responses are incomplete.  </w:t>
      </w:r>
      <w:r w:rsidR="00CC556D">
        <w:rPr>
          <w:sz w:val="20"/>
          <w:szCs w:val="20"/>
        </w:rPr>
        <w:t xml:space="preserve">The Procedures provide that </w:t>
      </w:r>
      <w:r>
        <w:rPr>
          <w:sz w:val="20"/>
          <w:szCs w:val="20"/>
        </w:rPr>
        <w:t xml:space="preserve">Covered Suppliers who continue to refuse </w:t>
      </w:r>
      <w:r w:rsidR="00EC26EF">
        <w:rPr>
          <w:sz w:val="20"/>
          <w:szCs w:val="20"/>
        </w:rPr>
        <w:t xml:space="preserve">or fail </w:t>
      </w:r>
      <w:r>
        <w:rPr>
          <w:sz w:val="20"/>
          <w:szCs w:val="20"/>
        </w:rPr>
        <w:t>to cooperate</w:t>
      </w:r>
      <w:r w:rsidR="00CF3702">
        <w:rPr>
          <w:sz w:val="20"/>
          <w:szCs w:val="20"/>
        </w:rPr>
        <w:t xml:space="preserve"> may</w:t>
      </w:r>
      <w:r>
        <w:rPr>
          <w:sz w:val="20"/>
          <w:szCs w:val="20"/>
        </w:rPr>
        <w:t xml:space="preserve"> be identified </w:t>
      </w:r>
      <w:r w:rsidR="00EC26EF">
        <w:rPr>
          <w:sz w:val="20"/>
          <w:szCs w:val="20"/>
        </w:rPr>
        <w:t xml:space="preserve">to </w:t>
      </w:r>
      <w:r w:rsidR="000204C1">
        <w:rPr>
          <w:sz w:val="20"/>
          <w:szCs w:val="20"/>
        </w:rPr>
        <w:t xml:space="preserve">the </w:t>
      </w:r>
      <w:r w:rsidR="005F6B87">
        <w:rPr>
          <w:sz w:val="20"/>
          <w:szCs w:val="20"/>
        </w:rPr>
        <w:t>C</w:t>
      </w:r>
      <w:r w:rsidR="00856097">
        <w:rPr>
          <w:sz w:val="20"/>
          <w:szCs w:val="20"/>
        </w:rPr>
        <w:t xml:space="preserve">MWG </w:t>
      </w:r>
      <w:r w:rsidR="004521EF">
        <w:rPr>
          <w:sz w:val="20"/>
          <w:szCs w:val="20"/>
        </w:rPr>
        <w:t>for further action</w:t>
      </w:r>
      <w:r w:rsidR="002004DE">
        <w:rPr>
          <w:sz w:val="20"/>
          <w:szCs w:val="20"/>
        </w:rPr>
        <w:t xml:space="preserve">.  </w:t>
      </w:r>
      <w:r w:rsidR="005F6B87">
        <w:rPr>
          <w:sz w:val="20"/>
          <w:szCs w:val="20"/>
        </w:rPr>
        <w:t xml:space="preserve">  </w:t>
      </w:r>
      <w:r>
        <w:rPr>
          <w:sz w:val="20"/>
          <w:szCs w:val="20"/>
        </w:rPr>
        <w:t xml:space="preserve">    </w:t>
      </w:r>
    </w:p>
    <w:p w14:paraId="12DAEB3C" w14:textId="77777777" w:rsidR="005F6B87" w:rsidRDefault="005F6B87" w:rsidP="0049752D">
      <w:pPr>
        <w:jc w:val="both"/>
        <w:rPr>
          <w:b/>
          <w:i/>
          <w:sz w:val="20"/>
          <w:szCs w:val="20"/>
        </w:rPr>
      </w:pPr>
      <w:r>
        <w:rPr>
          <w:sz w:val="20"/>
          <w:szCs w:val="20"/>
        </w:rPr>
        <w:tab/>
      </w:r>
      <w:r>
        <w:rPr>
          <w:b/>
          <w:i/>
          <w:sz w:val="20"/>
          <w:szCs w:val="20"/>
        </w:rPr>
        <w:t>4.</w:t>
      </w:r>
      <w:r>
        <w:rPr>
          <w:b/>
          <w:i/>
          <w:sz w:val="20"/>
          <w:szCs w:val="20"/>
        </w:rPr>
        <w:tab/>
        <w:t>Independent Third Party Audit.</w:t>
      </w:r>
    </w:p>
    <w:p w14:paraId="737F18E3" w14:textId="77777777" w:rsidR="005F6B87" w:rsidRDefault="005F6B87" w:rsidP="00F10F23">
      <w:pPr>
        <w:jc w:val="both"/>
        <w:rPr>
          <w:sz w:val="20"/>
          <w:szCs w:val="20"/>
        </w:rPr>
      </w:pPr>
      <w:r>
        <w:rPr>
          <w:sz w:val="20"/>
          <w:szCs w:val="20"/>
        </w:rPr>
        <w:tab/>
        <w:t>The P</w:t>
      </w:r>
      <w:r w:rsidR="00CC556D">
        <w:rPr>
          <w:sz w:val="20"/>
          <w:szCs w:val="20"/>
        </w:rPr>
        <w:t xml:space="preserve">rocedures </w:t>
      </w:r>
      <w:r>
        <w:rPr>
          <w:sz w:val="20"/>
          <w:szCs w:val="20"/>
        </w:rPr>
        <w:t xml:space="preserve">require the Company to obtain an independent audit of its Conflict Minerals due diligence process </w:t>
      </w:r>
      <w:proofErr w:type="gramStart"/>
      <w:r w:rsidR="00CF3702">
        <w:rPr>
          <w:sz w:val="20"/>
          <w:szCs w:val="20"/>
        </w:rPr>
        <w:t>if</w:t>
      </w:r>
      <w:r>
        <w:rPr>
          <w:sz w:val="20"/>
          <w:szCs w:val="20"/>
        </w:rPr>
        <w:t xml:space="preserve"> and when</w:t>
      </w:r>
      <w:proofErr w:type="gramEnd"/>
      <w:r>
        <w:rPr>
          <w:sz w:val="20"/>
          <w:szCs w:val="20"/>
        </w:rPr>
        <w:t xml:space="preserve"> required under the Rule.  No audit is required </w:t>
      </w:r>
      <w:r w:rsidR="000204C1">
        <w:rPr>
          <w:sz w:val="20"/>
          <w:szCs w:val="20"/>
        </w:rPr>
        <w:t xml:space="preserve">under the Rule </w:t>
      </w:r>
      <w:r>
        <w:rPr>
          <w:sz w:val="20"/>
          <w:szCs w:val="20"/>
        </w:rPr>
        <w:t xml:space="preserve">for the </w:t>
      </w:r>
      <w:r w:rsidR="00EC26EF">
        <w:rPr>
          <w:sz w:val="20"/>
          <w:szCs w:val="20"/>
        </w:rPr>
        <w:t xml:space="preserve">current </w:t>
      </w:r>
      <w:r>
        <w:rPr>
          <w:sz w:val="20"/>
          <w:szCs w:val="20"/>
        </w:rPr>
        <w:t xml:space="preserve">Reporting Period.  </w:t>
      </w:r>
      <w:r w:rsidR="00CC556D">
        <w:rPr>
          <w:sz w:val="20"/>
          <w:szCs w:val="20"/>
        </w:rPr>
        <w:t xml:space="preserve">The Company does not audit processing facilities </w:t>
      </w:r>
      <w:proofErr w:type="gramStart"/>
      <w:r w:rsidR="00CF3702">
        <w:rPr>
          <w:sz w:val="20"/>
          <w:szCs w:val="20"/>
        </w:rPr>
        <w:t>in light of</w:t>
      </w:r>
      <w:proofErr w:type="gramEnd"/>
      <w:r w:rsidR="00CF3702">
        <w:rPr>
          <w:sz w:val="20"/>
          <w:szCs w:val="20"/>
        </w:rPr>
        <w:t xml:space="preserve"> its </w:t>
      </w:r>
      <w:r w:rsidR="00CC556D">
        <w:rPr>
          <w:sz w:val="20"/>
          <w:szCs w:val="20"/>
        </w:rPr>
        <w:t xml:space="preserve">downstream </w:t>
      </w:r>
      <w:r w:rsidR="00CF3702">
        <w:rPr>
          <w:sz w:val="20"/>
          <w:szCs w:val="20"/>
        </w:rPr>
        <w:t xml:space="preserve">position in the supply chain.  </w:t>
      </w:r>
    </w:p>
    <w:p w14:paraId="6DEAB03A" w14:textId="77777777" w:rsidR="005F6B87" w:rsidRPr="005F6B87" w:rsidRDefault="005F6B87" w:rsidP="005F6B87">
      <w:pPr>
        <w:rPr>
          <w:b/>
          <w:i/>
          <w:sz w:val="20"/>
          <w:szCs w:val="20"/>
        </w:rPr>
      </w:pPr>
      <w:r>
        <w:rPr>
          <w:sz w:val="20"/>
          <w:szCs w:val="20"/>
        </w:rPr>
        <w:tab/>
      </w:r>
      <w:r w:rsidRPr="005F6B87">
        <w:rPr>
          <w:b/>
          <w:i/>
          <w:sz w:val="20"/>
          <w:szCs w:val="20"/>
        </w:rPr>
        <w:t>5.</w:t>
      </w:r>
      <w:r w:rsidRPr="005F6B87">
        <w:rPr>
          <w:b/>
          <w:i/>
          <w:sz w:val="20"/>
          <w:szCs w:val="20"/>
        </w:rPr>
        <w:tab/>
        <w:t xml:space="preserve">Report on Supply Chain Due Diligence.  </w:t>
      </w:r>
    </w:p>
    <w:p w14:paraId="5F779356" w14:textId="1A0FA393" w:rsidR="005F6B87" w:rsidRPr="005F6B87" w:rsidRDefault="005F6B87" w:rsidP="00A11368">
      <w:pPr>
        <w:jc w:val="both"/>
        <w:rPr>
          <w:sz w:val="20"/>
          <w:szCs w:val="20"/>
        </w:rPr>
      </w:pPr>
      <w:r>
        <w:rPr>
          <w:sz w:val="20"/>
          <w:szCs w:val="20"/>
        </w:rPr>
        <w:tab/>
        <w:t>The P</w:t>
      </w:r>
      <w:r w:rsidR="00CC556D">
        <w:rPr>
          <w:sz w:val="20"/>
          <w:szCs w:val="20"/>
        </w:rPr>
        <w:t xml:space="preserve">rocedures </w:t>
      </w:r>
      <w:r>
        <w:rPr>
          <w:sz w:val="20"/>
          <w:szCs w:val="20"/>
        </w:rPr>
        <w:t>require the Company to report annually to the S</w:t>
      </w:r>
      <w:r w:rsidR="001C3902">
        <w:rPr>
          <w:sz w:val="20"/>
          <w:szCs w:val="20"/>
        </w:rPr>
        <w:t xml:space="preserve">ecurities and Exchange Commission </w:t>
      </w:r>
      <w:r>
        <w:rPr>
          <w:sz w:val="20"/>
          <w:szCs w:val="20"/>
        </w:rPr>
        <w:t xml:space="preserve">and to make a copy of its annual </w:t>
      </w:r>
      <w:r w:rsidR="00CF3702">
        <w:rPr>
          <w:sz w:val="20"/>
          <w:szCs w:val="20"/>
        </w:rPr>
        <w:t>Conflict Minerals R</w:t>
      </w:r>
      <w:r>
        <w:rPr>
          <w:sz w:val="20"/>
          <w:szCs w:val="20"/>
        </w:rPr>
        <w:t xml:space="preserve">eport available on its website in each case as required by the Rule. </w:t>
      </w:r>
      <w:r w:rsidR="000204C1">
        <w:rPr>
          <w:sz w:val="20"/>
          <w:szCs w:val="20"/>
        </w:rPr>
        <w:t xml:space="preserve">A copy of this </w:t>
      </w:r>
      <w:r w:rsidR="007C508D">
        <w:rPr>
          <w:sz w:val="20"/>
          <w:szCs w:val="20"/>
        </w:rPr>
        <w:t>Conflict Minerals R</w:t>
      </w:r>
      <w:r w:rsidR="000204C1">
        <w:rPr>
          <w:sz w:val="20"/>
          <w:szCs w:val="20"/>
        </w:rPr>
        <w:t>eport will be available on the Company’s website.</w:t>
      </w:r>
    </w:p>
    <w:p w14:paraId="095C243C" w14:textId="77777777" w:rsidR="00BB792D" w:rsidRPr="005F3F34" w:rsidRDefault="005F6B87">
      <w:pPr>
        <w:jc w:val="both"/>
        <w:rPr>
          <w:b/>
          <w:sz w:val="20"/>
          <w:szCs w:val="20"/>
        </w:rPr>
      </w:pPr>
      <w:r w:rsidRPr="005F3F34">
        <w:rPr>
          <w:b/>
          <w:sz w:val="20"/>
          <w:szCs w:val="20"/>
        </w:rPr>
        <w:t xml:space="preserve">Part </w:t>
      </w:r>
      <w:r w:rsidR="005F3F34" w:rsidRPr="005F3F34">
        <w:rPr>
          <w:b/>
          <w:sz w:val="20"/>
          <w:szCs w:val="20"/>
        </w:rPr>
        <w:t>I</w:t>
      </w:r>
      <w:r w:rsidRPr="005F3F34">
        <w:rPr>
          <w:b/>
          <w:sz w:val="20"/>
          <w:szCs w:val="20"/>
        </w:rPr>
        <w:t xml:space="preserve">I.  </w:t>
      </w:r>
      <w:r w:rsidR="00CF220A" w:rsidRPr="005F3F34">
        <w:rPr>
          <w:b/>
          <w:sz w:val="20"/>
          <w:szCs w:val="20"/>
        </w:rPr>
        <w:t>Results of Due Diligence</w:t>
      </w:r>
    </w:p>
    <w:p w14:paraId="2EE6CB0B" w14:textId="77777777" w:rsidR="000E0A44" w:rsidRPr="000E0A44" w:rsidRDefault="00EB753E" w:rsidP="0046202D">
      <w:pPr>
        <w:jc w:val="both"/>
        <w:rPr>
          <w:b/>
          <w:i/>
          <w:sz w:val="20"/>
          <w:szCs w:val="20"/>
        </w:rPr>
      </w:pPr>
      <w:r>
        <w:rPr>
          <w:sz w:val="20"/>
          <w:szCs w:val="20"/>
        </w:rPr>
        <w:tab/>
      </w:r>
      <w:r w:rsidR="000E0A44" w:rsidRPr="00D061B8">
        <w:rPr>
          <w:b/>
          <w:i/>
          <w:sz w:val="20"/>
          <w:szCs w:val="20"/>
        </w:rPr>
        <w:t>1.</w:t>
      </w:r>
      <w:r w:rsidR="000E0A44" w:rsidRPr="00D061B8">
        <w:rPr>
          <w:b/>
          <w:i/>
          <w:sz w:val="20"/>
          <w:szCs w:val="20"/>
        </w:rPr>
        <w:tab/>
        <w:t>Covered Products.</w:t>
      </w:r>
      <w:r w:rsidR="000E0A44" w:rsidRPr="000E0A44">
        <w:rPr>
          <w:b/>
          <w:i/>
          <w:sz w:val="20"/>
          <w:szCs w:val="20"/>
        </w:rPr>
        <w:t xml:space="preserve"> </w:t>
      </w:r>
    </w:p>
    <w:p w14:paraId="5CCA25C5" w14:textId="77777777" w:rsidR="00294C38" w:rsidRDefault="00DE72B2" w:rsidP="00DE72B2">
      <w:pPr>
        <w:ind w:firstLine="720"/>
        <w:jc w:val="both"/>
        <w:rPr>
          <w:sz w:val="20"/>
          <w:szCs w:val="20"/>
        </w:rPr>
      </w:pPr>
      <w:r w:rsidRPr="007851C3">
        <w:rPr>
          <w:sz w:val="20"/>
          <w:szCs w:val="20"/>
        </w:rPr>
        <w:t xml:space="preserve">The Company determined that the </w:t>
      </w:r>
      <w:r w:rsidR="00E608F1" w:rsidRPr="007851C3">
        <w:rPr>
          <w:sz w:val="20"/>
          <w:szCs w:val="20"/>
        </w:rPr>
        <w:t>following product</w:t>
      </w:r>
      <w:r w:rsidR="007C508D" w:rsidRPr="007851C3">
        <w:rPr>
          <w:sz w:val="20"/>
          <w:szCs w:val="20"/>
        </w:rPr>
        <w:t xml:space="preserve"> lines contained </w:t>
      </w:r>
      <w:r w:rsidR="00E608F1" w:rsidRPr="007851C3">
        <w:rPr>
          <w:sz w:val="20"/>
          <w:szCs w:val="20"/>
        </w:rPr>
        <w:t>Covered Products</w:t>
      </w:r>
      <w:r w:rsidR="007C508D" w:rsidRPr="007851C3">
        <w:rPr>
          <w:sz w:val="20"/>
          <w:szCs w:val="20"/>
        </w:rPr>
        <w:t xml:space="preserve"> during the Reporting Period</w:t>
      </w:r>
      <w:r w:rsidR="00294C38" w:rsidRPr="007851C3">
        <w:rPr>
          <w:sz w:val="20"/>
          <w:szCs w:val="20"/>
        </w:rPr>
        <w:t>:  Motor, Automotive and Transformers.</w:t>
      </w:r>
      <w:r w:rsidR="00294C38">
        <w:rPr>
          <w:sz w:val="20"/>
          <w:szCs w:val="20"/>
        </w:rPr>
        <w:t xml:space="preserve">  </w:t>
      </w:r>
    </w:p>
    <w:p w14:paraId="0B40F7FA" w14:textId="1D0ED33A" w:rsidR="000E0A44" w:rsidRPr="000E0A44" w:rsidRDefault="000E0A44" w:rsidP="00DE72B2">
      <w:pPr>
        <w:ind w:firstLine="720"/>
        <w:jc w:val="both"/>
        <w:rPr>
          <w:b/>
          <w:i/>
          <w:sz w:val="20"/>
          <w:szCs w:val="20"/>
        </w:rPr>
      </w:pPr>
      <w:r w:rsidRPr="000E0A44">
        <w:rPr>
          <w:b/>
          <w:i/>
          <w:sz w:val="20"/>
          <w:szCs w:val="20"/>
        </w:rPr>
        <w:t>2.</w:t>
      </w:r>
      <w:r w:rsidRPr="000E0A44">
        <w:rPr>
          <w:b/>
          <w:i/>
          <w:sz w:val="20"/>
          <w:szCs w:val="20"/>
        </w:rPr>
        <w:tab/>
        <w:t>Supplier Data; Identification of Processing Facilities</w:t>
      </w:r>
    </w:p>
    <w:p w14:paraId="5675F93A" w14:textId="77777777" w:rsidR="00D67ECB" w:rsidRDefault="00E478DA" w:rsidP="00DE72B2">
      <w:pPr>
        <w:ind w:firstLine="720"/>
        <w:jc w:val="both"/>
        <w:rPr>
          <w:sz w:val="20"/>
          <w:szCs w:val="20"/>
        </w:rPr>
      </w:pPr>
      <w:r>
        <w:rPr>
          <w:sz w:val="20"/>
          <w:szCs w:val="20"/>
        </w:rPr>
        <w:t xml:space="preserve">Due to </w:t>
      </w:r>
      <w:r w:rsidR="00D67ECB">
        <w:rPr>
          <w:sz w:val="20"/>
          <w:szCs w:val="20"/>
        </w:rPr>
        <w:t xml:space="preserve">its position in the supply chain, the Company does not have direct relationships with </w:t>
      </w:r>
      <w:r>
        <w:rPr>
          <w:sz w:val="20"/>
          <w:szCs w:val="20"/>
        </w:rPr>
        <w:t xml:space="preserve">the </w:t>
      </w:r>
      <w:r w:rsidR="00D67ECB">
        <w:rPr>
          <w:sz w:val="20"/>
          <w:szCs w:val="20"/>
        </w:rPr>
        <w:t xml:space="preserve">smelters and refiners </w:t>
      </w:r>
      <w:r w:rsidR="00E608F1">
        <w:rPr>
          <w:sz w:val="20"/>
          <w:szCs w:val="20"/>
        </w:rPr>
        <w:t xml:space="preserve">that process </w:t>
      </w:r>
      <w:r>
        <w:rPr>
          <w:sz w:val="20"/>
          <w:szCs w:val="20"/>
        </w:rPr>
        <w:t xml:space="preserve">the </w:t>
      </w:r>
      <w:r w:rsidR="00D67ECB">
        <w:rPr>
          <w:sz w:val="20"/>
          <w:szCs w:val="20"/>
        </w:rPr>
        <w:t>Conflict Minerals</w:t>
      </w:r>
      <w:r>
        <w:rPr>
          <w:sz w:val="20"/>
          <w:szCs w:val="20"/>
        </w:rPr>
        <w:t xml:space="preserve"> contained in its Covered Products</w:t>
      </w:r>
      <w:r w:rsidR="00D67ECB">
        <w:rPr>
          <w:sz w:val="20"/>
          <w:szCs w:val="20"/>
        </w:rPr>
        <w:t xml:space="preserve">.  Accordingly, </w:t>
      </w:r>
      <w:r>
        <w:rPr>
          <w:sz w:val="20"/>
          <w:szCs w:val="20"/>
        </w:rPr>
        <w:t>t</w:t>
      </w:r>
      <w:r w:rsidR="00D67ECB">
        <w:rPr>
          <w:sz w:val="20"/>
          <w:szCs w:val="20"/>
        </w:rPr>
        <w:t xml:space="preserve">he Company relies on its </w:t>
      </w:r>
      <w:r w:rsidR="00E96A00">
        <w:rPr>
          <w:sz w:val="20"/>
          <w:szCs w:val="20"/>
        </w:rPr>
        <w:t>Covered S</w:t>
      </w:r>
      <w:r w:rsidR="00D67ECB">
        <w:rPr>
          <w:sz w:val="20"/>
          <w:szCs w:val="20"/>
        </w:rPr>
        <w:t xml:space="preserve">uppliers to provide information on the smelters and refiners of the Conflict Minerals contained in the Company’s Covered Products.  The Company’s </w:t>
      </w:r>
      <w:r w:rsidR="00E96A00">
        <w:rPr>
          <w:sz w:val="20"/>
          <w:szCs w:val="20"/>
        </w:rPr>
        <w:t>Covered S</w:t>
      </w:r>
      <w:r w:rsidR="00D67ECB">
        <w:rPr>
          <w:sz w:val="20"/>
          <w:szCs w:val="20"/>
        </w:rPr>
        <w:t xml:space="preserve">uppliers often rely on information provided </w:t>
      </w:r>
      <w:r>
        <w:rPr>
          <w:sz w:val="20"/>
          <w:szCs w:val="20"/>
        </w:rPr>
        <w:t xml:space="preserve">to them </w:t>
      </w:r>
      <w:r w:rsidR="00D67ECB">
        <w:rPr>
          <w:sz w:val="20"/>
          <w:szCs w:val="20"/>
        </w:rPr>
        <w:t xml:space="preserve">by their suppliers and, consequently, the Company’s ability to determine the ultimate origin and source of the Conflict Minerals </w:t>
      </w:r>
      <w:proofErr w:type="gramStart"/>
      <w:r w:rsidR="00CC556D">
        <w:rPr>
          <w:sz w:val="20"/>
          <w:szCs w:val="20"/>
        </w:rPr>
        <w:t xml:space="preserve">actually </w:t>
      </w:r>
      <w:r w:rsidR="00D67ECB">
        <w:rPr>
          <w:sz w:val="20"/>
          <w:szCs w:val="20"/>
        </w:rPr>
        <w:t>contained</w:t>
      </w:r>
      <w:proofErr w:type="gramEnd"/>
      <w:r w:rsidR="00D67ECB">
        <w:rPr>
          <w:sz w:val="20"/>
          <w:szCs w:val="20"/>
        </w:rPr>
        <w:t xml:space="preserve"> in </w:t>
      </w:r>
      <w:r w:rsidR="00F10F23">
        <w:rPr>
          <w:sz w:val="20"/>
          <w:szCs w:val="20"/>
        </w:rPr>
        <w:t xml:space="preserve">its </w:t>
      </w:r>
      <w:r w:rsidR="00D67ECB">
        <w:rPr>
          <w:sz w:val="20"/>
          <w:szCs w:val="20"/>
        </w:rPr>
        <w:t xml:space="preserve">Covered Products is limited.  </w:t>
      </w:r>
    </w:p>
    <w:p w14:paraId="06E703E2" w14:textId="078DA507" w:rsidR="00614FF1" w:rsidRDefault="00293D60" w:rsidP="003B1E72">
      <w:pPr>
        <w:ind w:firstLine="720"/>
        <w:jc w:val="both"/>
        <w:rPr>
          <w:sz w:val="20"/>
          <w:szCs w:val="20"/>
        </w:rPr>
      </w:pPr>
      <w:r>
        <w:rPr>
          <w:sz w:val="20"/>
          <w:szCs w:val="20"/>
        </w:rPr>
        <w:t>With respect to the current Reporting Period, t</w:t>
      </w:r>
      <w:r w:rsidR="00EB753E" w:rsidRPr="00026FBD">
        <w:rPr>
          <w:sz w:val="20"/>
          <w:szCs w:val="20"/>
        </w:rPr>
        <w:t xml:space="preserve">he </w:t>
      </w:r>
      <w:r w:rsidR="003B1E72" w:rsidRPr="00026FBD">
        <w:rPr>
          <w:sz w:val="20"/>
          <w:szCs w:val="20"/>
        </w:rPr>
        <w:t xml:space="preserve">Company </w:t>
      </w:r>
      <w:r w:rsidR="00EB753E" w:rsidRPr="00026FBD">
        <w:rPr>
          <w:sz w:val="20"/>
          <w:szCs w:val="20"/>
        </w:rPr>
        <w:t xml:space="preserve">received </w:t>
      </w:r>
      <w:r w:rsidR="005F3F34" w:rsidRPr="00026FBD">
        <w:rPr>
          <w:sz w:val="20"/>
          <w:szCs w:val="20"/>
        </w:rPr>
        <w:t xml:space="preserve">responses </w:t>
      </w:r>
      <w:r w:rsidR="005F3F34" w:rsidRPr="007851C3">
        <w:rPr>
          <w:sz w:val="20"/>
          <w:szCs w:val="20"/>
        </w:rPr>
        <w:t xml:space="preserve">from </w:t>
      </w:r>
      <w:r w:rsidR="002C2723" w:rsidRPr="007851C3">
        <w:rPr>
          <w:sz w:val="20"/>
          <w:szCs w:val="20"/>
        </w:rPr>
        <w:t xml:space="preserve">approximately </w:t>
      </w:r>
      <w:r w:rsidR="007851C3" w:rsidRPr="007851C3">
        <w:rPr>
          <w:sz w:val="20"/>
          <w:szCs w:val="20"/>
        </w:rPr>
        <w:t>2</w:t>
      </w:r>
      <w:r w:rsidR="002C6FD3">
        <w:rPr>
          <w:sz w:val="20"/>
          <w:szCs w:val="20"/>
        </w:rPr>
        <w:t>7</w:t>
      </w:r>
      <w:r w:rsidR="007C508D" w:rsidRPr="007851C3">
        <w:rPr>
          <w:sz w:val="20"/>
          <w:szCs w:val="20"/>
        </w:rPr>
        <w:t xml:space="preserve"> </w:t>
      </w:r>
      <w:r w:rsidR="009F5253" w:rsidRPr="007851C3">
        <w:rPr>
          <w:sz w:val="20"/>
          <w:szCs w:val="20"/>
        </w:rPr>
        <w:t>of its</w:t>
      </w:r>
      <w:r w:rsidR="00EB753E" w:rsidRPr="007851C3">
        <w:rPr>
          <w:sz w:val="20"/>
          <w:szCs w:val="20"/>
        </w:rPr>
        <w:t xml:space="preserve"> Covered Suppliers.  </w:t>
      </w:r>
      <w:r w:rsidR="000421A8" w:rsidRPr="007851C3">
        <w:rPr>
          <w:sz w:val="20"/>
          <w:szCs w:val="20"/>
        </w:rPr>
        <w:t xml:space="preserve">Since </w:t>
      </w:r>
      <w:r w:rsidR="00023182" w:rsidRPr="007851C3">
        <w:rPr>
          <w:sz w:val="20"/>
          <w:szCs w:val="20"/>
        </w:rPr>
        <w:t xml:space="preserve">a number </w:t>
      </w:r>
      <w:r w:rsidR="000450E8" w:rsidRPr="007851C3">
        <w:rPr>
          <w:sz w:val="20"/>
          <w:szCs w:val="20"/>
        </w:rPr>
        <w:t xml:space="preserve">of the Company’s Covered Suppliers </w:t>
      </w:r>
      <w:r w:rsidR="00A7191C" w:rsidRPr="007851C3">
        <w:rPr>
          <w:sz w:val="20"/>
          <w:szCs w:val="20"/>
        </w:rPr>
        <w:t xml:space="preserve">reported </w:t>
      </w:r>
      <w:r w:rsidR="000450E8" w:rsidRPr="007851C3">
        <w:rPr>
          <w:sz w:val="20"/>
          <w:szCs w:val="20"/>
        </w:rPr>
        <w:t>data</w:t>
      </w:r>
      <w:r w:rsidR="000450E8">
        <w:rPr>
          <w:sz w:val="20"/>
          <w:szCs w:val="20"/>
        </w:rPr>
        <w:t xml:space="preserve"> at a company level</w:t>
      </w:r>
      <w:r w:rsidR="000421A8">
        <w:rPr>
          <w:sz w:val="20"/>
          <w:szCs w:val="20"/>
        </w:rPr>
        <w:t>, i</w:t>
      </w:r>
      <w:r w:rsidR="004F2F9D">
        <w:rPr>
          <w:sz w:val="20"/>
          <w:szCs w:val="20"/>
        </w:rPr>
        <w:t xml:space="preserve">t is not possible for the Company to determine </w:t>
      </w:r>
      <w:r>
        <w:rPr>
          <w:sz w:val="20"/>
          <w:szCs w:val="20"/>
        </w:rPr>
        <w:t xml:space="preserve">with certainty whether all of the Conflict Minerals identified by such Covered Suppliers were supplied to the Company and included within Covered Products, or </w:t>
      </w:r>
      <w:r w:rsidR="004521EF">
        <w:rPr>
          <w:sz w:val="20"/>
          <w:szCs w:val="20"/>
        </w:rPr>
        <w:t xml:space="preserve">which </w:t>
      </w:r>
      <w:r w:rsidR="004F2F9D">
        <w:rPr>
          <w:sz w:val="20"/>
          <w:szCs w:val="20"/>
        </w:rPr>
        <w:t xml:space="preserve">of the smelters or refiners identified by </w:t>
      </w:r>
      <w:r>
        <w:rPr>
          <w:sz w:val="20"/>
          <w:szCs w:val="20"/>
        </w:rPr>
        <w:t xml:space="preserve">such </w:t>
      </w:r>
      <w:r w:rsidR="004F2F9D">
        <w:rPr>
          <w:sz w:val="20"/>
          <w:szCs w:val="20"/>
        </w:rPr>
        <w:t xml:space="preserve">Covered Suppliers processed Conflict Minerals </w:t>
      </w:r>
      <w:r w:rsidR="0046202D">
        <w:rPr>
          <w:sz w:val="20"/>
          <w:szCs w:val="20"/>
        </w:rPr>
        <w:t xml:space="preserve">actually </w:t>
      </w:r>
      <w:r w:rsidR="004F2F9D">
        <w:rPr>
          <w:sz w:val="20"/>
          <w:szCs w:val="20"/>
        </w:rPr>
        <w:t xml:space="preserve">contained in the Company’s Covered Products. </w:t>
      </w:r>
      <w:r w:rsidR="0046202D">
        <w:rPr>
          <w:sz w:val="20"/>
          <w:szCs w:val="20"/>
        </w:rPr>
        <w:t xml:space="preserve"> </w:t>
      </w:r>
      <w:r w:rsidR="003B1E72">
        <w:rPr>
          <w:sz w:val="20"/>
          <w:szCs w:val="20"/>
        </w:rPr>
        <w:t xml:space="preserve">Accordingly, </w:t>
      </w:r>
      <w:r w:rsidR="003C71C5">
        <w:rPr>
          <w:sz w:val="20"/>
          <w:szCs w:val="20"/>
        </w:rPr>
        <w:t xml:space="preserve">the Company has </w:t>
      </w:r>
      <w:r w:rsidR="004F2F9D">
        <w:rPr>
          <w:sz w:val="20"/>
          <w:szCs w:val="20"/>
        </w:rPr>
        <w:t xml:space="preserve">listed in </w:t>
      </w:r>
      <w:r w:rsidR="003C71C5">
        <w:rPr>
          <w:sz w:val="20"/>
          <w:szCs w:val="20"/>
        </w:rPr>
        <w:t xml:space="preserve">Attachment A </w:t>
      </w:r>
      <w:proofErr w:type="gramStart"/>
      <w:r w:rsidR="008F5A95">
        <w:rPr>
          <w:sz w:val="20"/>
          <w:szCs w:val="20"/>
        </w:rPr>
        <w:t>all of</w:t>
      </w:r>
      <w:proofErr w:type="gramEnd"/>
      <w:r w:rsidR="008F5A95">
        <w:rPr>
          <w:sz w:val="20"/>
          <w:szCs w:val="20"/>
        </w:rPr>
        <w:t xml:space="preserve"> </w:t>
      </w:r>
      <w:r w:rsidR="004F2F9D">
        <w:rPr>
          <w:sz w:val="20"/>
          <w:szCs w:val="20"/>
        </w:rPr>
        <w:t xml:space="preserve">the processing facilities </w:t>
      </w:r>
      <w:r w:rsidR="00075F46">
        <w:rPr>
          <w:sz w:val="20"/>
          <w:szCs w:val="20"/>
        </w:rPr>
        <w:t xml:space="preserve">currently </w:t>
      </w:r>
      <w:r w:rsidR="00594DFE">
        <w:rPr>
          <w:sz w:val="20"/>
          <w:szCs w:val="20"/>
        </w:rPr>
        <w:t xml:space="preserve">identified by RMI as smelters or refiners that were </w:t>
      </w:r>
      <w:r w:rsidR="004F2F9D">
        <w:rPr>
          <w:sz w:val="20"/>
          <w:szCs w:val="20"/>
        </w:rPr>
        <w:t xml:space="preserve">reported by </w:t>
      </w:r>
      <w:r w:rsidR="001F568D">
        <w:rPr>
          <w:sz w:val="20"/>
          <w:szCs w:val="20"/>
        </w:rPr>
        <w:t xml:space="preserve">the Company’s </w:t>
      </w:r>
      <w:r w:rsidR="004F2F9D">
        <w:rPr>
          <w:sz w:val="20"/>
          <w:szCs w:val="20"/>
        </w:rPr>
        <w:t xml:space="preserve">Covered Suppliers as being in their </w:t>
      </w:r>
      <w:r w:rsidR="00C67E53">
        <w:rPr>
          <w:sz w:val="20"/>
          <w:szCs w:val="20"/>
        </w:rPr>
        <w:t xml:space="preserve">respective </w:t>
      </w:r>
      <w:r w:rsidR="004F2F9D">
        <w:rPr>
          <w:sz w:val="20"/>
          <w:szCs w:val="20"/>
        </w:rPr>
        <w:t>supply chains during the Reporting Period</w:t>
      </w:r>
      <w:r w:rsidR="008F5A95">
        <w:rPr>
          <w:sz w:val="20"/>
          <w:szCs w:val="20"/>
        </w:rPr>
        <w:t xml:space="preserve">. Attachment A also identifies </w:t>
      </w:r>
      <w:r w:rsidR="003C71C5">
        <w:rPr>
          <w:sz w:val="20"/>
          <w:szCs w:val="20"/>
        </w:rPr>
        <w:t xml:space="preserve">the </w:t>
      </w:r>
      <w:r w:rsidR="003B1E72">
        <w:rPr>
          <w:sz w:val="20"/>
          <w:szCs w:val="20"/>
        </w:rPr>
        <w:t>countr</w:t>
      </w:r>
      <w:r w:rsidR="00C67E53">
        <w:rPr>
          <w:sz w:val="20"/>
          <w:szCs w:val="20"/>
        </w:rPr>
        <w:t>ies</w:t>
      </w:r>
      <w:r w:rsidR="003B1E72">
        <w:rPr>
          <w:sz w:val="20"/>
          <w:szCs w:val="20"/>
        </w:rPr>
        <w:t xml:space="preserve"> </w:t>
      </w:r>
      <w:r w:rsidR="00C67E53">
        <w:rPr>
          <w:sz w:val="20"/>
          <w:szCs w:val="20"/>
        </w:rPr>
        <w:t xml:space="preserve">in which </w:t>
      </w:r>
      <w:r w:rsidR="00075F46">
        <w:rPr>
          <w:sz w:val="20"/>
          <w:szCs w:val="20"/>
        </w:rPr>
        <w:t xml:space="preserve">RMI </w:t>
      </w:r>
      <w:r w:rsidR="003B1E72">
        <w:rPr>
          <w:sz w:val="20"/>
          <w:szCs w:val="20"/>
        </w:rPr>
        <w:t>indicate</w:t>
      </w:r>
      <w:r w:rsidR="00C67E53">
        <w:rPr>
          <w:sz w:val="20"/>
          <w:szCs w:val="20"/>
        </w:rPr>
        <w:t>s</w:t>
      </w:r>
      <w:r w:rsidR="003B1E72">
        <w:rPr>
          <w:sz w:val="20"/>
          <w:szCs w:val="20"/>
        </w:rPr>
        <w:t xml:space="preserve"> such </w:t>
      </w:r>
      <w:r w:rsidR="008F5A95">
        <w:rPr>
          <w:sz w:val="20"/>
          <w:szCs w:val="20"/>
        </w:rPr>
        <w:t xml:space="preserve">processing </w:t>
      </w:r>
      <w:r w:rsidR="003B1E72">
        <w:rPr>
          <w:sz w:val="20"/>
          <w:szCs w:val="20"/>
        </w:rPr>
        <w:t xml:space="preserve">facilities are located.  </w:t>
      </w:r>
      <w:r w:rsidR="00AB33CB">
        <w:rPr>
          <w:sz w:val="20"/>
          <w:szCs w:val="20"/>
        </w:rPr>
        <w:t xml:space="preserve"> </w:t>
      </w:r>
    </w:p>
    <w:p w14:paraId="17032EDA" w14:textId="2C6CF7E9" w:rsidR="00E40426" w:rsidRDefault="000E0A44" w:rsidP="00670750">
      <w:pPr>
        <w:ind w:firstLine="720"/>
        <w:jc w:val="both"/>
        <w:rPr>
          <w:sz w:val="20"/>
          <w:szCs w:val="20"/>
        </w:rPr>
      </w:pPr>
      <w:r>
        <w:rPr>
          <w:sz w:val="20"/>
          <w:szCs w:val="20"/>
        </w:rPr>
        <w:lastRenderedPageBreak/>
        <w:t>In light of the Company’s position in the supply chain</w:t>
      </w:r>
      <w:r w:rsidR="001F568D">
        <w:rPr>
          <w:sz w:val="20"/>
          <w:szCs w:val="20"/>
        </w:rPr>
        <w:t xml:space="preserve"> and the lack of certainty as to which smelters or refiners identified by the Covered Suppliers processed Conflict Minerals </w:t>
      </w:r>
      <w:r w:rsidR="008F5A95">
        <w:rPr>
          <w:sz w:val="20"/>
          <w:szCs w:val="20"/>
        </w:rPr>
        <w:t xml:space="preserve">actually </w:t>
      </w:r>
      <w:r w:rsidR="001F568D">
        <w:rPr>
          <w:sz w:val="20"/>
          <w:szCs w:val="20"/>
        </w:rPr>
        <w:t>contained in the Company’s Covered Products</w:t>
      </w:r>
      <w:r w:rsidR="004476CE">
        <w:rPr>
          <w:sz w:val="20"/>
          <w:szCs w:val="20"/>
        </w:rPr>
        <w:t>, it is not possible for the Company to identify with certainty the country of origin of those Conflict Minerals actually contained in the Company’s Covered Products.  T</w:t>
      </w:r>
      <w:r w:rsidR="003C71C5">
        <w:rPr>
          <w:sz w:val="20"/>
          <w:szCs w:val="20"/>
        </w:rPr>
        <w:t>he Company</w:t>
      </w:r>
      <w:r w:rsidR="008F5A95">
        <w:rPr>
          <w:sz w:val="20"/>
          <w:szCs w:val="20"/>
        </w:rPr>
        <w:t>’s</w:t>
      </w:r>
      <w:r w:rsidR="003C71C5">
        <w:rPr>
          <w:sz w:val="20"/>
          <w:szCs w:val="20"/>
        </w:rPr>
        <w:t xml:space="preserve"> </w:t>
      </w:r>
      <w:r>
        <w:rPr>
          <w:sz w:val="20"/>
          <w:szCs w:val="20"/>
        </w:rPr>
        <w:t>efforts to determine the location of the mines</w:t>
      </w:r>
      <w:r w:rsidR="008265C8">
        <w:rPr>
          <w:sz w:val="20"/>
          <w:szCs w:val="20"/>
        </w:rPr>
        <w:t xml:space="preserve"> from which the ore </w:t>
      </w:r>
      <w:r w:rsidR="00566AA2">
        <w:rPr>
          <w:sz w:val="20"/>
          <w:szCs w:val="20"/>
        </w:rPr>
        <w:t xml:space="preserve">or minerals </w:t>
      </w:r>
      <w:r>
        <w:rPr>
          <w:sz w:val="20"/>
          <w:szCs w:val="20"/>
        </w:rPr>
        <w:t xml:space="preserve">used by the </w:t>
      </w:r>
      <w:r w:rsidR="003C71C5">
        <w:rPr>
          <w:sz w:val="20"/>
          <w:szCs w:val="20"/>
        </w:rPr>
        <w:t xml:space="preserve">processing facilities </w:t>
      </w:r>
      <w:r>
        <w:rPr>
          <w:sz w:val="20"/>
          <w:szCs w:val="20"/>
        </w:rPr>
        <w:t>identified by the Covered Suppliers</w:t>
      </w:r>
      <w:r w:rsidR="008265C8">
        <w:rPr>
          <w:sz w:val="20"/>
          <w:szCs w:val="20"/>
        </w:rPr>
        <w:t xml:space="preserve"> </w:t>
      </w:r>
      <w:proofErr w:type="gramStart"/>
      <w:r w:rsidR="008265C8">
        <w:rPr>
          <w:sz w:val="20"/>
          <w:szCs w:val="20"/>
        </w:rPr>
        <w:t>was</w:t>
      </w:r>
      <w:proofErr w:type="gramEnd"/>
      <w:r w:rsidR="008265C8">
        <w:rPr>
          <w:sz w:val="20"/>
          <w:szCs w:val="20"/>
        </w:rPr>
        <w:t xml:space="preserve"> sourced</w:t>
      </w:r>
      <w:r w:rsidR="00614FF1">
        <w:rPr>
          <w:sz w:val="20"/>
          <w:szCs w:val="20"/>
        </w:rPr>
        <w:t xml:space="preserve"> </w:t>
      </w:r>
      <w:r w:rsidR="004476CE">
        <w:rPr>
          <w:sz w:val="20"/>
          <w:szCs w:val="20"/>
        </w:rPr>
        <w:t>included</w:t>
      </w:r>
      <w:r w:rsidR="00614FF1">
        <w:rPr>
          <w:sz w:val="20"/>
          <w:szCs w:val="20"/>
        </w:rPr>
        <w:t xml:space="preserve"> </w:t>
      </w:r>
      <w:r w:rsidR="00614FF1" w:rsidRPr="00D45EF6">
        <w:rPr>
          <w:sz w:val="20"/>
          <w:szCs w:val="20"/>
        </w:rPr>
        <w:t xml:space="preserve">(i) its request to all Covered Suppliers to complete the CMRT, </w:t>
      </w:r>
      <w:r w:rsidR="00075F46">
        <w:rPr>
          <w:sz w:val="20"/>
          <w:szCs w:val="20"/>
        </w:rPr>
        <w:t xml:space="preserve">and </w:t>
      </w:r>
      <w:r w:rsidR="00614FF1" w:rsidRPr="00D45EF6">
        <w:rPr>
          <w:sz w:val="20"/>
          <w:szCs w:val="20"/>
        </w:rPr>
        <w:t xml:space="preserve">(ii) its review of </w:t>
      </w:r>
      <w:r w:rsidR="008F5A95">
        <w:rPr>
          <w:sz w:val="20"/>
          <w:szCs w:val="20"/>
        </w:rPr>
        <w:t>the</w:t>
      </w:r>
      <w:r w:rsidR="00614FF1" w:rsidRPr="00D45EF6">
        <w:rPr>
          <w:sz w:val="20"/>
          <w:szCs w:val="20"/>
        </w:rPr>
        <w:t xml:space="preserve"> processing facility information provided by Covered Suppliers</w:t>
      </w:r>
      <w:r w:rsidR="00CF5711" w:rsidRPr="00294C38">
        <w:rPr>
          <w:sz w:val="20"/>
          <w:szCs w:val="20"/>
        </w:rPr>
        <w:t xml:space="preserve">.  </w:t>
      </w:r>
      <w:r w:rsidR="00E40426" w:rsidRPr="00294C38">
        <w:rPr>
          <w:sz w:val="20"/>
          <w:szCs w:val="20"/>
        </w:rPr>
        <w:t xml:space="preserve"> As the Company is not a member of RMI, it does not have access to the RMI aggregated data on the countries from which the processing facilities listed </w:t>
      </w:r>
      <w:r w:rsidR="00375E09">
        <w:rPr>
          <w:sz w:val="20"/>
          <w:szCs w:val="20"/>
        </w:rPr>
        <w:t>in Attachment A</w:t>
      </w:r>
      <w:r w:rsidR="00E40426" w:rsidRPr="00294C38">
        <w:rPr>
          <w:sz w:val="20"/>
          <w:szCs w:val="20"/>
        </w:rPr>
        <w:t xml:space="preserve"> source raw materials.</w:t>
      </w:r>
      <w:r w:rsidR="00E40426">
        <w:rPr>
          <w:sz w:val="20"/>
          <w:szCs w:val="20"/>
        </w:rPr>
        <w:t xml:space="preserve">  </w:t>
      </w:r>
    </w:p>
    <w:p w14:paraId="1C8D6C06" w14:textId="77777777" w:rsidR="00BB792D" w:rsidRDefault="00CF220A">
      <w:pPr>
        <w:jc w:val="both"/>
        <w:rPr>
          <w:b/>
          <w:i/>
          <w:sz w:val="20"/>
          <w:szCs w:val="20"/>
        </w:rPr>
      </w:pPr>
      <w:r>
        <w:rPr>
          <w:b/>
          <w:i/>
          <w:sz w:val="20"/>
          <w:szCs w:val="20"/>
        </w:rPr>
        <w:tab/>
        <w:t>3.</w:t>
      </w:r>
      <w:r>
        <w:rPr>
          <w:b/>
          <w:i/>
          <w:sz w:val="20"/>
          <w:szCs w:val="20"/>
        </w:rPr>
        <w:tab/>
      </w:r>
      <w:r w:rsidR="00DE72B2">
        <w:rPr>
          <w:b/>
          <w:i/>
          <w:sz w:val="20"/>
          <w:szCs w:val="20"/>
        </w:rPr>
        <w:t xml:space="preserve">Current and </w:t>
      </w:r>
      <w:r>
        <w:rPr>
          <w:b/>
          <w:i/>
          <w:sz w:val="20"/>
          <w:szCs w:val="20"/>
        </w:rPr>
        <w:t>Future Due Diligence Measures</w:t>
      </w:r>
      <w:r>
        <w:rPr>
          <w:b/>
          <w:i/>
          <w:sz w:val="20"/>
          <w:szCs w:val="20"/>
        </w:rPr>
        <w:tab/>
      </w:r>
    </w:p>
    <w:p w14:paraId="7875DDE5" w14:textId="77777777" w:rsidR="000E0A44" w:rsidRDefault="00CF220A">
      <w:pPr>
        <w:jc w:val="both"/>
        <w:rPr>
          <w:sz w:val="20"/>
          <w:szCs w:val="20"/>
        </w:rPr>
      </w:pPr>
      <w:r>
        <w:rPr>
          <w:sz w:val="20"/>
          <w:szCs w:val="20"/>
        </w:rPr>
        <w:tab/>
        <w:t xml:space="preserve">The </w:t>
      </w:r>
      <w:r w:rsidR="00DE72B2">
        <w:rPr>
          <w:sz w:val="20"/>
          <w:szCs w:val="20"/>
        </w:rPr>
        <w:t>steps</w:t>
      </w:r>
      <w:r w:rsidR="000421A8">
        <w:rPr>
          <w:sz w:val="20"/>
          <w:szCs w:val="20"/>
        </w:rPr>
        <w:t xml:space="preserve"> undertaken by</w:t>
      </w:r>
      <w:r w:rsidR="00DE72B2">
        <w:rPr>
          <w:sz w:val="20"/>
          <w:szCs w:val="20"/>
        </w:rPr>
        <w:t xml:space="preserve"> the </w:t>
      </w:r>
      <w:r>
        <w:rPr>
          <w:sz w:val="20"/>
          <w:szCs w:val="20"/>
        </w:rPr>
        <w:t xml:space="preserve">Company </w:t>
      </w:r>
      <w:r w:rsidR="00DE72B2">
        <w:rPr>
          <w:sz w:val="20"/>
          <w:szCs w:val="20"/>
        </w:rPr>
        <w:t xml:space="preserve">during the current Reporting Period to mitigate the risk that the Conflict Minerals used in its Covered Products will benefit armed groups </w:t>
      </w:r>
      <w:r w:rsidR="000421A8">
        <w:rPr>
          <w:sz w:val="20"/>
          <w:szCs w:val="20"/>
        </w:rPr>
        <w:t xml:space="preserve">in the Covered Countries </w:t>
      </w:r>
      <w:r w:rsidR="000E0A44">
        <w:rPr>
          <w:sz w:val="20"/>
          <w:szCs w:val="20"/>
        </w:rPr>
        <w:t xml:space="preserve">are described in Part I of this Conflict Minerals Report.  The Company intends to continue work with its Covered Suppliers to obtain information about </w:t>
      </w:r>
      <w:r w:rsidR="000421A8">
        <w:rPr>
          <w:sz w:val="20"/>
          <w:szCs w:val="20"/>
        </w:rPr>
        <w:t xml:space="preserve">the </w:t>
      </w:r>
      <w:r w:rsidR="000E0A44">
        <w:rPr>
          <w:sz w:val="20"/>
          <w:szCs w:val="20"/>
        </w:rPr>
        <w:t>Conflict Minerals in its Covered Products</w:t>
      </w:r>
      <w:r w:rsidR="000421A8">
        <w:rPr>
          <w:sz w:val="20"/>
          <w:szCs w:val="20"/>
        </w:rPr>
        <w:t xml:space="preserve"> and to report the results of its efforts as required by the Rule</w:t>
      </w:r>
      <w:r w:rsidR="000E0A44">
        <w:rPr>
          <w:sz w:val="20"/>
          <w:szCs w:val="20"/>
        </w:rPr>
        <w:t xml:space="preserve">.  </w:t>
      </w:r>
    </w:p>
    <w:p w14:paraId="5CCE917A" w14:textId="77777777" w:rsidR="00831304" w:rsidRPr="003B0D6C" w:rsidRDefault="00EC26EF">
      <w:pPr>
        <w:rPr>
          <w:b/>
          <w:sz w:val="20"/>
          <w:szCs w:val="20"/>
        </w:rPr>
      </w:pPr>
      <w:r w:rsidRPr="003B0D6C">
        <w:rPr>
          <w:b/>
          <w:sz w:val="20"/>
          <w:szCs w:val="20"/>
        </w:rPr>
        <w:t xml:space="preserve">Forward looking statements </w:t>
      </w:r>
    </w:p>
    <w:p w14:paraId="7BAFD5C0" w14:textId="77777777" w:rsidR="00831304" w:rsidRPr="00831304" w:rsidRDefault="00831304" w:rsidP="003B0D6C">
      <w:pPr>
        <w:ind w:firstLine="720"/>
        <w:jc w:val="both"/>
        <w:rPr>
          <w:iCs/>
          <w:sz w:val="20"/>
          <w:szCs w:val="20"/>
        </w:rPr>
      </w:pPr>
      <w:r w:rsidRPr="00831304">
        <w:rPr>
          <w:rFonts w:eastAsia="Times New Roman"/>
          <w:iCs/>
          <w:sz w:val="20"/>
          <w:szCs w:val="20"/>
        </w:rPr>
        <w:t xml:space="preserve">Selected statements contained in this </w:t>
      </w:r>
      <w:r>
        <w:rPr>
          <w:rFonts w:eastAsia="Times New Roman"/>
          <w:iCs/>
          <w:sz w:val="20"/>
          <w:szCs w:val="20"/>
        </w:rPr>
        <w:t>Conflict Minerals Report</w:t>
      </w:r>
      <w:r w:rsidR="00A11368">
        <w:rPr>
          <w:rFonts w:eastAsia="Times New Roman"/>
          <w:iCs/>
          <w:sz w:val="20"/>
          <w:szCs w:val="20"/>
        </w:rPr>
        <w:t xml:space="preserve"> are</w:t>
      </w:r>
      <w:r>
        <w:rPr>
          <w:rFonts w:eastAsia="Times New Roman"/>
          <w:iCs/>
          <w:sz w:val="20"/>
          <w:szCs w:val="20"/>
        </w:rPr>
        <w:t xml:space="preserve"> </w:t>
      </w:r>
      <w:r w:rsidRPr="00831304">
        <w:rPr>
          <w:rFonts w:eastAsia="Times New Roman"/>
          <w:iCs/>
          <w:sz w:val="20"/>
          <w:szCs w:val="20"/>
        </w:rPr>
        <w:t>“forward-looking statements</w:t>
      </w:r>
      <w:r w:rsidR="00A11368">
        <w:rPr>
          <w:rFonts w:eastAsia="Times New Roman"/>
          <w:iCs/>
          <w:sz w:val="20"/>
          <w:szCs w:val="20"/>
        </w:rPr>
        <w:t>.</w:t>
      </w:r>
      <w:r w:rsidRPr="00831304">
        <w:rPr>
          <w:rFonts w:eastAsia="Times New Roman"/>
          <w:iCs/>
          <w:sz w:val="20"/>
          <w:szCs w:val="20"/>
        </w:rPr>
        <w:t xml:space="preserve">” </w:t>
      </w:r>
      <w:r w:rsidR="00A11368">
        <w:rPr>
          <w:rFonts w:eastAsia="Times New Roman"/>
          <w:iCs/>
          <w:sz w:val="20"/>
          <w:szCs w:val="20"/>
        </w:rPr>
        <w:t xml:space="preserve">  </w:t>
      </w:r>
      <w:r w:rsidRPr="00831304">
        <w:rPr>
          <w:rFonts w:eastAsia="Times New Roman"/>
          <w:iCs/>
          <w:sz w:val="20"/>
          <w:szCs w:val="20"/>
        </w:rPr>
        <w:t>Forward-looking statements reflect</w:t>
      </w:r>
      <w:r w:rsidR="00023182">
        <w:rPr>
          <w:rFonts w:eastAsia="Times New Roman"/>
          <w:iCs/>
          <w:sz w:val="20"/>
          <w:szCs w:val="20"/>
        </w:rPr>
        <w:t xml:space="preserve"> the Company’s </w:t>
      </w:r>
      <w:r w:rsidRPr="00831304">
        <w:rPr>
          <w:rFonts w:eastAsia="Times New Roman"/>
          <w:iCs/>
          <w:sz w:val="20"/>
          <w:szCs w:val="20"/>
        </w:rPr>
        <w:t xml:space="preserve">current expectations, estimates or projections concerning future results or events. These statements are often identified by the use of forward-looking words or phrases such as “believe,” “expect,” “anticipate,” “may,” “could,” “intend,” “estimate,” “plan,” “foresee,” “likely,” “will,” “should” or other similar words or phrases. Because they are based on beliefs, estimates and assumptions, forward-looking statements are inherently subject to risks and uncertainties that could cause actual results to differ materially from those projected. </w:t>
      </w:r>
      <w:r w:rsidRPr="00831304">
        <w:rPr>
          <w:iCs/>
          <w:sz w:val="20"/>
          <w:szCs w:val="20"/>
        </w:rPr>
        <w:t>Any forward-looking statements in this</w:t>
      </w:r>
      <w:r>
        <w:rPr>
          <w:iCs/>
          <w:sz w:val="20"/>
          <w:szCs w:val="20"/>
        </w:rPr>
        <w:t xml:space="preserve"> Conflict Minerals Report </w:t>
      </w:r>
      <w:r w:rsidRPr="00831304">
        <w:rPr>
          <w:iCs/>
          <w:sz w:val="20"/>
          <w:szCs w:val="20"/>
        </w:rPr>
        <w:t xml:space="preserve">are based on current information as of the date of this </w:t>
      </w:r>
      <w:r w:rsidR="00023182">
        <w:rPr>
          <w:iCs/>
          <w:sz w:val="20"/>
          <w:szCs w:val="20"/>
        </w:rPr>
        <w:t>Conflict Minerals Report</w:t>
      </w:r>
      <w:r w:rsidRPr="00831304">
        <w:rPr>
          <w:iCs/>
          <w:sz w:val="20"/>
          <w:szCs w:val="20"/>
        </w:rPr>
        <w:t xml:space="preserve">, and </w:t>
      </w:r>
      <w:r w:rsidR="00023182">
        <w:rPr>
          <w:iCs/>
          <w:sz w:val="20"/>
          <w:szCs w:val="20"/>
        </w:rPr>
        <w:t xml:space="preserve">the Company </w:t>
      </w:r>
      <w:r w:rsidRPr="00831304">
        <w:rPr>
          <w:iCs/>
          <w:sz w:val="20"/>
          <w:szCs w:val="20"/>
        </w:rPr>
        <w:t>assume</w:t>
      </w:r>
      <w:r w:rsidR="00023182">
        <w:rPr>
          <w:iCs/>
          <w:sz w:val="20"/>
          <w:szCs w:val="20"/>
        </w:rPr>
        <w:t>s</w:t>
      </w:r>
      <w:r w:rsidRPr="00831304">
        <w:rPr>
          <w:iCs/>
          <w:sz w:val="20"/>
          <w:szCs w:val="20"/>
        </w:rPr>
        <w:t xml:space="preserve"> no obligation to correct or update any such statements in the future, except as required by applicable law. </w:t>
      </w:r>
    </w:p>
    <w:p w14:paraId="23A81E30" w14:textId="77777777" w:rsidR="00831304" w:rsidRPr="00831304" w:rsidRDefault="00831304" w:rsidP="00831304">
      <w:pPr>
        <w:spacing w:before="180" w:after="0"/>
        <w:ind w:firstLine="490"/>
        <w:rPr>
          <w:rFonts w:eastAsia="Times New Roman"/>
          <w:i/>
          <w:iCs/>
          <w:sz w:val="20"/>
          <w:szCs w:val="20"/>
        </w:rPr>
      </w:pPr>
      <w:r w:rsidRPr="00831304">
        <w:rPr>
          <w:rFonts w:eastAsia="Times New Roman"/>
          <w:i/>
          <w:iCs/>
          <w:sz w:val="20"/>
          <w:szCs w:val="20"/>
        </w:rPr>
        <w:t> </w:t>
      </w:r>
    </w:p>
    <w:p w14:paraId="039ADF99" w14:textId="77777777" w:rsidR="00343081" w:rsidRPr="00EC26EF" w:rsidRDefault="00343081" w:rsidP="00831304">
      <w:pPr>
        <w:spacing w:before="180" w:after="0"/>
        <w:ind w:firstLine="490"/>
        <w:rPr>
          <w:sz w:val="20"/>
          <w:szCs w:val="20"/>
        </w:rPr>
      </w:pPr>
      <w:r w:rsidRPr="00EC26EF">
        <w:rPr>
          <w:sz w:val="20"/>
          <w:szCs w:val="20"/>
        </w:rPr>
        <w:br w:type="page"/>
      </w:r>
    </w:p>
    <w:p w14:paraId="6780A0FC" w14:textId="77777777" w:rsidR="00BB792D" w:rsidRPr="00324538" w:rsidRDefault="00343081" w:rsidP="00343081">
      <w:pPr>
        <w:jc w:val="center"/>
        <w:rPr>
          <w:b/>
          <w:sz w:val="20"/>
          <w:szCs w:val="20"/>
        </w:rPr>
      </w:pPr>
      <w:r w:rsidRPr="00324538">
        <w:rPr>
          <w:b/>
          <w:sz w:val="20"/>
          <w:szCs w:val="20"/>
        </w:rPr>
        <w:lastRenderedPageBreak/>
        <w:t>Attachment A</w:t>
      </w:r>
    </w:p>
    <w:p w14:paraId="4CACCA6C" w14:textId="73B14D55" w:rsidR="00343081" w:rsidRDefault="00CC3CC9" w:rsidP="00A11368">
      <w:pPr>
        <w:jc w:val="both"/>
        <w:rPr>
          <w:sz w:val="20"/>
          <w:szCs w:val="20"/>
        </w:rPr>
      </w:pPr>
      <w:r w:rsidRPr="00EC26EF">
        <w:rPr>
          <w:sz w:val="20"/>
          <w:szCs w:val="20"/>
        </w:rPr>
        <w:t xml:space="preserve">The </w:t>
      </w:r>
      <w:r w:rsidR="00CF5711">
        <w:rPr>
          <w:sz w:val="20"/>
          <w:szCs w:val="20"/>
        </w:rPr>
        <w:t xml:space="preserve">processing </w:t>
      </w:r>
      <w:r w:rsidRPr="00EC26EF">
        <w:rPr>
          <w:sz w:val="20"/>
          <w:szCs w:val="20"/>
        </w:rPr>
        <w:t xml:space="preserve">facilities </w:t>
      </w:r>
      <w:r w:rsidR="00023182">
        <w:rPr>
          <w:sz w:val="20"/>
          <w:szCs w:val="20"/>
        </w:rPr>
        <w:t xml:space="preserve">that have been </w:t>
      </w:r>
      <w:r w:rsidR="001F568D">
        <w:rPr>
          <w:sz w:val="20"/>
          <w:szCs w:val="20"/>
        </w:rPr>
        <w:t xml:space="preserve">identified by </w:t>
      </w:r>
      <w:r w:rsidR="00AD2F4C">
        <w:rPr>
          <w:sz w:val="20"/>
          <w:szCs w:val="20"/>
        </w:rPr>
        <w:t xml:space="preserve">RMI </w:t>
      </w:r>
      <w:r w:rsidR="00D26E80">
        <w:rPr>
          <w:sz w:val="20"/>
          <w:szCs w:val="20"/>
        </w:rPr>
        <w:t xml:space="preserve">as </w:t>
      </w:r>
      <w:r w:rsidRPr="00EC26EF">
        <w:rPr>
          <w:sz w:val="20"/>
          <w:szCs w:val="20"/>
        </w:rPr>
        <w:t xml:space="preserve">smelters </w:t>
      </w:r>
      <w:r w:rsidRPr="00EF02A5">
        <w:rPr>
          <w:sz w:val="20"/>
          <w:szCs w:val="20"/>
        </w:rPr>
        <w:t xml:space="preserve">or refiners </w:t>
      </w:r>
      <w:r w:rsidR="00075F46" w:rsidRPr="00EF02A5">
        <w:rPr>
          <w:sz w:val="20"/>
          <w:szCs w:val="20"/>
        </w:rPr>
        <w:t xml:space="preserve">in CMRT </w:t>
      </w:r>
      <w:r w:rsidR="00655ABE" w:rsidRPr="00EF02A5">
        <w:rPr>
          <w:sz w:val="20"/>
          <w:szCs w:val="20"/>
        </w:rPr>
        <w:t>version 6.</w:t>
      </w:r>
      <w:r w:rsidR="00EF02A5" w:rsidRPr="00EF02A5">
        <w:rPr>
          <w:sz w:val="20"/>
          <w:szCs w:val="20"/>
        </w:rPr>
        <w:t>5</w:t>
      </w:r>
      <w:r w:rsidR="00075F46" w:rsidRPr="00B80987">
        <w:rPr>
          <w:sz w:val="20"/>
          <w:szCs w:val="20"/>
        </w:rPr>
        <w:t xml:space="preserve"> </w:t>
      </w:r>
      <w:r w:rsidR="00023182" w:rsidRPr="00B80987">
        <w:rPr>
          <w:sz w:val="20"/>
          <w:szCs w:val="20"/>
        </w:rPr>
        <w:t>and</w:t>
      </w:r>
      <w:r w:rsidR="00023182">
        <w:rPr>
          <w:sz w:val="20"/>
          <w:szCs w:val="20"/>
        </w:rPr>
        <w:t xml:space="preserve"> </w:t>
      </w:r>
      <w:r w:rsidR="00CF5711">
        <w:rPr>
          <w:sz w:val="20"/>
          <w:szCs w:val="20"/>
        </w:rPr>
        <w:t xml:space="preserve">have been </w:t>
      </w:r>
      <w:r w:rsidR="00D26E80">
        <w:rPr>
          <w:sz w:val="20"/>
          <w:szCs w:val="20"/>
        </w:rPr>
        <w:t xml:space="preserve">reported </w:t>
      </w:r>
      <w:r w:rsidR="00EB76E9" w:rsidRPr="00EC26EF">
        <w:rPr>
          <w:sz w:val="20"/>
          <w:szCs w:val="20"/>
        </w:rPr>
        <w:t xml:space="preserve">to the </w:t>
      </w:r>
      <w:r w:rsidRPr="00EC26EF">
        <w:rPr>
          <w:sz w:val="20"/>
          <w:szCs w:val="20"/>
        </w:rPr>
        <w:t>Company</w:t>
      </w:r>
      <w:r w:rsidR="00EB76E9" w:rsidRPr="00EC26EF">
        <w:rPr>
          <w:sz w:val="20"/>
          <w:szCs w:val="20"/>
        </w:rPr>
        <w:t xml:space="preserve"> by its Covered S</w:t>
      </w:r>
      <w:r w:rsidR="00EC26EF" w:rsidRPr="00EC26EF">
        <w:rPr>
          <w:sz w:val="20"/>
          <w:szCs w:val="20"/>
        </w:rPr>
        <w:t xml:space="preserve">uppliers as processing Conflict Minerals used by those Covered Suppliers and the country in which they are located is set forth below.  </w:t>
      </w:r>
      <w:r w:rsidR="00023182">
        <w:rPr>
          <w:sz w:val="20"/>
          <w:szCs w:val="20"/>
        </w:rPr>
        <w:t xml:space="preserve">As noted in Part II of the Company’s Conflict Minerals Report, </w:t>
      </w:r>
      <w:proofErr w:type="gramStart"/>
      <w:r w:rsidR="00023182">
        <w:rPr>
          <w:sz w:val="20"/>
          <w:szCs w:val="20"/>
        </w:rPr>
        <w:t>a number of</w:t>
      </w:r>
      <w:proofErr w:type="gramEnd"/>
      <w:r w:rsidR="00023182">
        <w:rPr>
          <w:sz w:val="20"/>
          <w:szCs w:val="20"/>
        </w:rPr>
        <w:t xml:space="preserve"> the Company’s Covered Suppliers </w:t>
      </w:r>
      <w:r w:rsidR="00DD7E93">
        <w:rPr>
          <w:sz w:val="20"/>
          <w:szCs w:val="20"/>
        </w:rPr>
        <w:t xml:space="preserve">identified smelters and refiners </w:t>
      </w:r>
      <w:r w:rsidR="00023182">
        <w:rPr>
          <w:sz w:val="20"/>
          <w:szCs w:val="20"/>
        </w:rPr>
        <w:t>at a company</w:t>
      </w:r>
      <w:r w:rsidR="00A7191C">
        <w:rPr>
          <w:sz w:val="20"/>
          <w:szCs w:val="20"/>
        </w:rPr>
        <w:t xml:space="preserve"> level</w:t>
      </w:r>
      <w:r w:rsidR="00DD7E93">
        <w:rPr>
          <w:sz w:val="20"/>
          <w:szCs w:val="20"/>
        </w:rPr>
        <w:t xml:space="preserve">.  Accordingly, </w:t>
      </w:r>
      <w:r w:rsidR="00023182">
        <w:rPr>
          <w:sz w:val="20"/>
          <w:szCs w:val="20"/>
        </w:rPr>
        <w:t xml:space="preserve">it is not possible for the Company to determine whether </w:t>
      </w:r>
      <w:r w:rsidR="001F568D">
        <w:rPr>
          <w:sz w:val="20"/>
          <w:szCs w:val="20"/>
        </w:rPr>
        <w:t xml:space="preserve">or which </w:t>
      </w:r>
      <w:r w:rsidR="00023182">
        <w:rPr>
          <w:sz w:val="20"/>
          <w:szCs w:val="20"/>
        </w:rPr>
        <w:t xml:space="preserve">of the smelters or refiners identified below processed Conflict Minerals </w:t>
      </w:r>
      <w:proofErr w:type="gramStart"/>
      <w:r w:rsidR="00023182">
        <w:rPr>
          <w:sz w:val="20"/>
          <w:szCs w:val="20"/>
        </w:rPr>
        <w:t>actually contained</w:t>
      </w:r>
      <w:proofErr w:type="gramEnd"/>
      <w:r w:rsidR="00023182">
        <w:rPr>
          <w:sz w:val="20"/>
          <w:szCs w:val="20"/>
        </w:rPr>
        <w:t xml:space="preserve"> in the Company’s Covered Products.  </w:t>
      </w:r>
      <w:r w:rsidR="00AD2F4C" w:rsidRPr="00E40426">
        <w:rPr>
          <w:sz w:val="20"/>
          <w:szCs w:val="20"/>
        </w:rPr>
        <w:t>As the Company is not a member of RMI, it does not have access to the RMI aggregated data on the countries from which the processing facilities listed below source raw materials.</w:t>
      </w:r>
      <w:r w:rsidR="00AD2F4C">
        <w:rPr>
          <w:sz w:val="20"/>
          <w:szCs w:val="20"/>
        </w:rPr>
        <w:t xml:space="preserve">  </w:t>
      </w:r>
    </w:p>
    <w:tbl>
      <w:tblPr>
        <w:tblStyle w:val="TableGrid"/>
        <w:tblW w:w="0" w:type="auto"/>
        <w:tblInd w:w="288" w:type="dxa"/>
        <w:tblLook w:val="04A0" w:firstRow="1" w:lastRow="0" w:firstColumn="1" w:lastColumn="0" w:noHBand="0" w:noVBand="1"/>
      </w:tblPr>
      <w:tblGrid>
        <w:gridCol w:w="1145"/>
        <w:gridCol w:w="4837"/>
        <w:gridCol w:w="3080"/>
      </w:tblGrid>
      <w:tr w:rsidR="00294C38" w:rsidRPr="00D80723" w14:paraId="0294D477" w14:textId="77777777" w:rsidTr="00B97E7E">
        <w:trPr>
          <w:trHeight w:val="210"/>
        </w:trPr>
        <w:tc>
          <w:tcPr>
            <w:tcW w:w="1145" w:type="dxa"/>
            <w:noWrap/>
          </w:tcPr>
          <w:p w14:paraId="5DB4A4FC" w14:textId="77777777" w:rsidR="00294C38" w:rsidRPr="00D80723" w:rsidRDefault="00294C38" w:rsidP="00B97E7E">
            <w:pPr>
              <w:rPr>
                <w:b/>
                <w:sz w:val="20"/>
                <w:szCs w:val="20"/>
              </w:rPr>
            </w:pPr>
            <w:r w:rsidRPr="00D80723">
              <w:rPr>
                <w:b/>
                <w:sz w:val="20"/>
                <w:szCs w:val="20"/>
              </w:rPr>
              <w:t>METAL</w:t>
            </w:r>
          </w:p>
        </w:tc>
        <w:tc>
          <w:tcPr>
            <w:tcW w:w="4837" w:type="dxa"/>
            <w:noWrap/>
          </w:tcPr>
          <w:p w14:paraId="762A526D" w14:textId="77777777" w:rsidR="00294C38" w:rsidRPr="00D80723" w:rsidRDefault="00294C38" w:rsidP="00B97E7E">
            <w:pPr>
              <w:rPr>
                <w:b/>
                <w:sz w:val="20"/>
                <w:szCs w:val="20"/>
              </w:rPr>
            </w:pPr>
            <w:r w:rsidRPr="00D80723">
              <w:rPr>
                <w:b/>
                <w:sz w:val="20"/>
                <w:szCs w:val="20"/>
              </w:rPr>
              <w:t>STANDARD SMELTER NAME</w:t>
            </w:r>
          </w:p>
        </w:tc>
        <w:tc>
          <w:tcPr>
            <w:tcW w:w="3080" w:type="dxa"/>
            <w:noWrap/>
          </w:tcPr>
          <w:p w14:paraId="50A91B9A" w14:textId="77777777" w:rsidR="00294C38" w:rsidRPr="00D80723" w:rsidRDefault="00294C38" w:rsidP="00B97E7E">
            <w:pPr>
              <w:rPr>
                <w:b/>
                <w:sz w:val="20"/>
                <w:szCs w:val="20"/>
              </w:rPr>
            </w:pPr>
            <w:r w:rsidRPr="00D80723">
              <w:rPr>
                <w:b/>
                <w:sz w:val="20"/>
                <w:szCs w:val="20"/>
              </w:rPr>
              <w:t>SMELTER COUNTRY</w:t>
            </w:r>
          </w:p>
        </w:tc>
      </w:tr>
      <w:tr w:rsidR="00294C38" w:rsidRPr="006F289C" w14:paraId="72B26E51" w14:textId="77777777" w:rsidTr="00B97E7E">
        <w:trPr>
          <w:trHeight w:val="300"/>
        </w:trPr>
        <w:tc>
          <w:tcPr>
            <w:tcW w:w="1145" w:type="dxa"/>
            <w:noWrap/>
            <w:hideMark/>
          </w:tcPr>
          <w:p w14:paraId="3E9989CC"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3482BB5" w14:textId="0B0F30CE" w:rsidR="00294C38" w:rsidRPr="006F289C" w:rsidRDefault="00294C38" w:rsidP="00B97E7E">
            <w:pPr>
              <w:rPr>
                <w:rFonts w:eastAsia="Times New Roman"/>
                <w:sz w:val="20"/>
                <w:szCs w:val="20"/>
              </w:rPr>
            </w:pPr>
            <w:r w:rsidRPr="006F289C">
              <w:rPr>
                <w:rFonts w:eastAsia="Times New Roman"/>
                <w:sz w:val="20"/>
                <w:szCs w:val="20"/>
              </w:rPr>
              <w:t>Alpha</w:t>
            </w:r>
            <w:r w:rsidR="00EF02A5">
              <w:rPr>
                <w:rFonts w:eastAsia="Times New Roman"/>
                <w:sz w:val="20"/>
                <w:szCs w:val="20"/>
              </w:rPr>
              <w:t xml:space="preserve"> Assembly Solutions, Inc.</w:t>
            </w:r>
          </w:p>
        </w:tc>
        <w:tc>
          <w:tcPr>
            <w:tcW w:w="3080" w:type="dxa"/>
            <w:hideMark/>
          </w:tcPr>
          <w:p w14:paraId="22C17501" w14:textId="77777777" w:rsidR="00294C38" w:rsidRPr="006F289C" w:rsidRDefault="00294C38" w:rsidP="00B97E7E">
            <w:pPr>
              <w:rPr>
                <w:rFonts w:eastAsia="Times New Roman"/>
                <w:sz w:val="20"/>
                <w:szCs w:val="20"/>
              </w:rPr>
            </w:pPr>
            <w:r w:rsidRPr="006F289C">
              <w:rPr>
                <w:rFonts w:eastAsia="Times New Roman"/>
                <w:sz w:val="20"/>
                <w:szCs w:val="20"/>
              </w:rPr>
              <w:t>United States Of America</w:t>
            </w:r>
          </w:p>
        </w:tc>
      </w:tr>
      <w:tr w:rsidR="00294C38" w:rsidRPr="006F289C" w14:paraId="0CC488F3" w14:textId="77777777" w:rsidTr="00B97E7E">
        <w:trPr>
          <w:trHeight w:val="300"/>
        </w:trPr>
        <w:tc>
          <w:tcPr>
            <w:tcW w:w="1145" w:type="dxa"/>
            <w:noWrap/>
            <w:hideMark/>
          </w:tcPr>
          <w:p w14:paraId="423F1A27"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09DB2669" w14:textId="77777777" w:rsidR="00294C38" w:rsidRPr="006F289C" w:rsidRDefault="00294C38" w:rsidP="00B97E7E">
            <w:pPr>
              <w:rPr>
                <w:rFonts w:eastAsia="Times New Roman"/>
                <w:sz w:val="20"/>
                <w:szCs w:val="20"/>
              </w:rPr>
            </w:pPr>
            <w:proofErr w:type="gramStart"/>
            <w:r w:rsidRPr="006F289C">
              <w:rPr>
                <w:rFonts w:eastAsia="Times New Roman"/>
                <w:sz w:val="20"/>
                <w:szCs w:val="20"/>
              </w:rPr>
              <w:t>An</w:t>
            </w:r>
            <w:proofErr w:type="gramEnd"/>
            <w:r w:rsidRPr="006F289C">
              <w:rPr>
                <w:rFonts w:eastAsia="Times New Roman"/>
                <w:sz w:val="20"/>
                <w:szCs w:val="20"/>
              </w:rPr>
              <w:t xml:space="preserve"> Vinh Joint Stock Mineral Processing Company</w:t>
            </w:r>
          </w:p>
        </w:tc>
        <w:tc>
          <w:tcPr>
            <w:tcW w:w="3080" w:type="dxa"/>
            <w:hideMark/>
          </w:tcPr>
          <w:p w14:paraId="375D2E43" w14:textId="77777777" w:rsidR="00294C38" w:rsidRPr="006F289C" w:rsidRDefault="00294C38" w:rsidP="00B97E7E">
            <w:pPr>
              <w:rPr>
                <w:rFonts w:eastAsia="Times New Roman"/>
                <w:sz w:val="20"/>
                <w:szCs w:val="20"/>
              </w:rPr>
            </w:pPr>
            <w:r w:rsidRPr="006F289C">
              <w:rPr>
                <w:rFonts w:eastAsia="Times New Roman"/>
                <w:sz w:val="20"/>
                <w:szCs w:val="20"/>
              </w:rPr>
              <w:t>Viet Nam</w:t>
            </w:r>
          </w:p>
        </w:tc>
      </w:tr>
      <w:tr w:rsidR="00294C38" w:rsidRPr="006F289C" w14:paraId="5F201141" w14:textId="77777777" w:rsidTr="00B97E7E">
        <w:trPr>
          <w:trHeight w:val="300"/>
        </w:trPr>
        <w:tc>
          <w:tcPr>
            <w:tcW w:w="1145" w:type="dxa"/>
            <w:noWrap/>
            <w:hideMark/>
          </w:tcPr>
          <w:p w14:paraId="6AC68620"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5D146E23" w14:textId="77777777" w:rsidR="00294C38" w:rsidRPr="006F289C" w:rsidRDefault="00294C38" w:rsidP="00B97E7E">
            <w:pPr>
              <w:rPr>
                <w:rFonts w:eastAsia="Times New Roman"/>
                <w:sz w:val="20"/>
                <w:szCs w:val="20"/>
              </w:rPr>
            </w:pPr>
            <w:r w:rsidRPr="006F289C">
              <w:rPr>
                <w:rFonts w:eastAsia="Times New Roman"/>
                <w:sz w:val="20"/>
                <w:szCs w:val="20"/>
              </w:rPr>
              <w:t>Aurubis Beerse</w:t>
            </w:r>
          </w:p>
        </w:tc>
        <w:tc>
          <w:tcPr>
            <w:tcW w:w="3080" w:type="dxa"/>
            <w:hideMark/>
          </w:tcPr>
          <w:p w14:paraId="73D21FEF" w14:textId="77777777" w:rsidR="00294C38" w:rsidRPr="006F289C" w:rsidRDefault="00294C38" w:rsidP="00B97E7E">
            <w:pPr>
              <w:rPr>
                <w:rFonts w:eastAsia="Times New Roman"/>
                <w:sz w:val="20"/>
                <w:szCs w:val="20"/>
              </w:rPr>
            </w:pPr>
            <w:r w:rsidRPr="006F289C">
              <w:rPr>
                <w:rFonts w:eastAsia="Times New Roman"/>
                <w:sz w:val="20"/>
                <w:szCs w:val="20"/>
              </w:rPr>
              <w:t>Belgium</w:t>
            </w:r>
          </w:p>
        </w:tc>
      </w:tr>
      <w:tr w:rsidR="00294C38" w:rsidRPr="006F289C" w14:paraId="6F52B8E7" w14:textId="77777777" w:rsidTr="00B97E7E">
        <w:trPr>
          <w:trHeight w:val="300"/>
        </w:trPr>
        <w:tc>
          <w:tcPr>
            <w:tcW w:w="1145" w:type="dxa"/>
            <w:noWrap/>
            <w:hideMark/>
          </w:tcPr>
          <w:p w14:paraId="6C42C72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58DEE328" w14:textId="77777777" w:rsidR="00294C38" w:rsidRPr="006F289C" w:rsidRDefault="00294C38" w:rsidP="00B97E7E">
            <w:pPr>
              <w:rPr>
                <w:rFonts w:eastAsia="Times New Roman"/>
                <w:sz w:val="20"/>
                <w:szCs w:val="20"/>
              </w:rPr>
            </w:pPr>
            <w:r w:rsidRPr="006F289C">
              <w:rPr>
                <w:rFonts w:eastAsia="Times New Roman"/>
                <w:sz w:val="20"/>
                <w:szCs w:val="20"/>
              </w:rPr>
              <w:t xml:space="preserve">Aurubis </w:t>
            </w:r>
            <w:proofErr w:type="spellStart"/>
            <w:r w:rsidRPr="006F289C">
              <w:rPr>
                <w:rFonts w:eastAsia="Times New Roman"/>
                <w:sz w:val="20"/>
                <w:szCs w:val="20"/>
              </w:rPr>
              <w:t>Berango</w:t>
            </w:r>
            <w:proofErr w:type="spellEnd"/>
          </w:p>
        </w:tc>
        <w:tc>
          <w:tcPr>
            <w:tcW w:w="3080" w:type="dxa"/>
            <w:hideMark/>
          </w:tcPr>
          <w:p w14:paraId="79BD542A" w14:textId="77777777" w:rsidR="00294C38" w:rsidRPr="006F289C" w:rsidRDefault="00294C38" w:rsidP="00B97E7E">
            <w:pPr>
              <w:rPr>
                <w:rFonts w:eastAsia="Times New Roman"/>
                <w:sz w:val="20"/>
                <w:szCs w:val="20"/>
              </w:rPr>
            </w:pPr>
            <w:r w:rsidRPr="006F289C">
              <w:rPr>
                <w:rFonts w:eastAsia="Times New Roman"/>
                <w:sz w:val="20"/>
                <w:szCs w:val="20"/>
              </w:rPr>
              <w:t>Spain</w:t>
            </w:r>
          </w:p>
        </w:tc>
      </w:tr>
      <w:tr w:rsidR="00294C38" w:rsidRPr="006F289C" w14:paraId="37E9F843" w14:textId="77777777" w:rsidTr="00B97E7E">
        <w:trPr>
          <w:trHeight w:val="300"/>
        </w:trPr>
        <w:tc>
          <w:tcPr>
            <w:tcW w:w="1145" w:type="dxa"/>
            <w:noWrap/>
            <w:hideMark/>
          </w:tcPr>
          <w:p w14:paraId="538C7A9D"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F48CD40"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Chenzhou</w:t>
            </w:r>
            <w:proofErr w:type="spellEnd"/>
            <w:r w:rsidRPr="006F289C">
              <w:rPr>
                <w:rFonts w:eastAsia="Times New Roman"/>
                <w:sz w:val="20"/>
                <w:szCs w:val="20"/>
              </w:rPr>
              <w:t xml:space="preserve"> </w:t>
            </w:r>
            <w:proofErr w:type="spellStart"/>
            <w:r w:rsidRPr="006F289C">
              <w:rPr>
                <w:rFonts w:eastAsia="Times New Roman"/>
                <w:sz w:val="20"/>
                <w:szCs w:val="20"/>
              </w:rPr>
              <w:t>Yunxiang</w:t>
            </w:r>
            <w:proofErr w:type="spellEnd"/>
            <w:r w:rsidRPr="006F289C">
              <w:rPr>
                <w:rFonts w:eastAsia="Times New Roman"/>
                <w:sz w:val="20"/>
                <w:szCs w:val="20"/>
              </w:rPr>
              <w:t xml:space="preserve"> Mining and Metallurgy Co., Ltd.</w:t>
            </w:r>
          </w:p>
        </w:tc>
        <w:tc>
          <w:tcPr>
            <w:tcW w:w="3080" w:type="dxa"/>
            <w:hideMark/>
          </w:tcPr>
          <w:p w14:paraId="36F6DF86"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262AB67E" w14:textId="77777777" w:rsidTr="00B97E7E">
        <w:trPr>
          <w:trHeight w:val="300"/>
        </w:trPr>
        <w:tc>
          <w:tcPr>
            <w:tcW w:w="1145" w:type="dxa"/>
            <w:noWrap/>
            <w:hideMark/>
          </w:tcPr>
          <w:p w14:paraId="25E6015A"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03CE9977" w14:textId="77777777" w:rsidR="00294C38" w:rsidRPr="006F289C" w:rsidRDefault="00294C38" w:rsidP="00B97E7E">
            <w:pPr>
              <w:rPr>
                <w:rFonts w:eastAsia="Times New Roman"/>
                <w:sz w:val="20"/>
                <w:szCs w:val="20"/>
              </w:rPr>
            </w:pPr>
            <w:r w:rsidRPr="006F289C">
              <w:rPr>
                <w:rFonts w:eastAsia="Times New Roman"/>
                <w:sz w:val="20"/>
                <w:szCs w:val="20"/>
              </w:rPr>
              <w:t>Chifeng Dajingzi Tin Industry Co., Ltd.</w:t>
            </w:r>
          </w:p>
        </w:tc>
        <w:tc>
          <w:tcPr>
            <w:tcW w:w="3080" w:type="dxa"/>
            <w:hideMark/>
          </w:tcPr>
          <w:p w14:paraId="27E20D73"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1ED9AB07" w14:textId="77777777" w:rsidTr="00B97E7E">
        <w:trPr>
          <w:trHeight w:val="300"/>
        </w:trPr>
        <w:tc>
          <w:tcPr>
            <w:tcW w:w="1145" w:type="dxa"/>
            <w:noWrap/>
            <w:hideMark/>
          </w:tcPr>
          <w:p w14:paraId="4FA7BEB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14C3C22" w14:textId="77777777" w:rsidR="00294C38" w:rsidRPr="006F289C" w:rsidRDefault="00294C38" w:rsidP="00B97E7E">
            <w:pPr>
              <w:rPr>
                <w:rFonts w:eastAsia="Times New Roman"/>
                <w:sz w:val="20"/>
                <w:szCs w:val="20"/>
              </w:rPr>
            </w:pPr>
            <w:r w:rsidRPr="006F289C">
              <w:rPr>
                <w:rFonts w:eastAsia="Times New Roman"/>
                <w:sz w:val="20"/>
                <w:szCs w:val="20"/>
              </w:rPr>
              <w:t>China Tin Group Co., Ltd.</w:t>
            </w:r>
          </w:p>
        </w:tc>
        <w:tc>
          <w:tcPr>
            <w:tcW w:w="3080" w:type="dxa"/>
            <w:hideMark/>
          </w:tcPr>
          <w:p w14:paraId="14ABD366"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6CA2A9A0" w14:textId="77777777" w:rsidTr="00B97E7E">
        <w:trPr>
          <w:trHeight w:val="600"/>
        </w:trPr>
        <w:tc>
          <w:tcPr>
            <w:tcW w:w="1145" w:type="dxa"/>
            <w:noWrap/>
            <w:hideMark/>
          </w:tcPr>
          <w:p w14:paraId="1F82DD2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A6AB7B8" w14:textId="77777777" w:rsidR="00294C38" w:rsidRPr="006F289C" w:rsidRDefault="00294C38" w:rsidP="00B97E7E">
            <w:pPr>
              <w:rPr>
                <w:rFonts w:eastAsia="Times New Roman"/>
                <w:sz w:val="20"/>
                <w:szCs w:val="20"/>
              </w:rPr>
            </w:pPr>
            <w:r w:rsidRPr="006F289C">
              <w:rPr>
                <w:rFonts w:eastAsia="Times New Roman"/>
                <w:sz w:val="20"/>
                <w:szCs w:val="20"/>
              </w:rPr>
              <w:t xml:space="preserve">CRM </w:t>
            </w:r>
            <w:proofErr w:type="spellStart"/>
            <w:r w:rsidRPr="006F289C">
              <w:rPr>
                <w:rFonts w:eastAsia="Times New Roman"/>
                <w:sz w:val="20"/>
                <w:szCs w:val="20"/>
              </w:rPr>
              <w:t>Fundicao</w:t>
            </w:r>
            <w:proofErr w:type="spellEnd"/>
            <w:r w:rsidRPr="006F289C">
              <w:rPr>
                <w:rFonts w:eastAsia="Times New Roman"/>
                <w:sz w:val="20"/>
                <w:szCs w:val="20"/>
              </w:rPr>
              <w:t xml:space="preserve"> De </w:t>
            </w:r>
            <w:proofErr w:type="spellStart"/>
            <w:r w:rsidRPr="006F289C">
              <w:rPr>
                <w:rFonts w:eastAsia="Times New Roman"/>
                <w:sz w:val="20"/>
                <w:szCs w:val="20"/>
              </w:rPr>
              <w:t>Metais</w:t>
            </w:r>
            <w:proofErr w:type="spellEnd"/>
            <w:r w:rsidRPr="006F289C">
              <w:rPr>
                <w:rFonts w:eastAsia="Times New Roman"/>
                <w:sz w:val="20"/>
                <w:szCs w:val="20"/>
              </w:rPr>
              <w:t xml:space="preserve"> E Comercio De </w:t>
            </w:r>
            <w:proofErr w:type="spellStart"/>
            <w:r w:rsidRPr="006F289C">
              <w:rPr>
                <w:rFonts w:eastAsia="Times New Roman"/>
                <w:sz w:val="20"/>
                <w:szCs w:val="20"/>
              </w:rPr>
              <w:t>Equipamentos</w:t>
            </w:r>
            <w:proofErr w:type="spellEnd"/>
            <w:r w:rsidRPr="006F289C">
              <w:rPr>
                <w:rFonts w:eastAsia="Times New Roman"/>
                <w:sz w:val="20"/>
                <w:szCs w:val="20"/>
              </w:rPr>
              <w:t xml:space="preserve"> </w:t>
            </w:r>
            <w:proofErr w:type="spellStart"/>
            <w:r w:rsidRPr="006F289C">
              <w:rPr>
                <w:rFonts w:eastAsia="Times New Roman"/>
                <w:sz w:val="20"/>
                <w:szCs w:val="20"/>
              </w:rPr>
              <w:t>Eletronicos</w:t>
            </w:r>
            <w:proofErr w:type="spellEnd"/>
            <w:r w:rsidRPr="006F289C">
              <w:rPr>
                <w:rFonts w:eastAsia="Times New Roman"/>
                <w:sz w:val="20"/>
                <w:szCs w:val="20"/>
              </w:rPr>
              <w:t xml:space="preserve"> Do </w:t>
            </w:r>
            <w:proofErr w:type="spellStart"/>
            <w:r w:rsidRPr="006F289C">
              <w:rPr>
                <w:rFonts w:eastAsia="Times New Roman"/>
                <w:sz w:val="20"/>
                <w:szCs w:val="20"/>
              </w:rPr>
              <w:t>Brasil</w:t>
            </w:r>
            <w:proofErr w:type="spellEnd"/>
            <w:r w:rsidRPr="006F289C">
              <w:rPr>
                <w:rFonts w:eastAsia="Times New Roman"/>
                <w:sz w:val="20"/>
                <w:szCs w:val="20"/>
              </w:rPr>
              <w:t xml:space="preserve"> </w:t>
            </w:r>
            <w:proofErr w:type="spellStart"/>
            <w:r w:rsidRPr="006F289C">
              <w:rPr>
                <w:rFonts w:eastAsia="Times New Roman"/>
                <w:sz w:val="20"/>
                <w:szCs w:val="20"/>
              </w:rPr>
              <w:t>Ltda</w:t>
            </w:r>
            <w:proofErr w:type="spellEnd"/>
          </w:p>
        </w:tc>
        <w:tc>
          <w:tcPr>
            <w:tcW w:w="3080" w:type="dxa"/>
            <w:hideMark/>
          </w:tcPr>
          <w:p w14:paraId="6B170188"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94C38" w:rsidRPr="006F289C" w14:paraId="3F09DAFB" w14:textId="77777777" w:rsidTr="00B97E7E">
        <w:trPr>
          <w:trHeight w:val="300"/>
        </w:trPr>
        <w:tc>
          <w:tcPr>
            <w:tcW w:w="1145" w:type="dxa"/>
            <w:noWrap/>
            <w:hideMark/>
          </w:tcPr>
          <w:p w14:paraId="37525CA1"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DB86FEA" w14:textId="77777777" w:rsidR="00294C38" w:rsidRPr="006F289C" w:rsidRDefault="00294C38" w:rsidP="00B97E7E">
            <w:pPr>
              <w:rPr>
                <w:rFonts w:eastAsia="Times New Roman"/>
                <w:sz w:val="20"/>
                <w:szCs w:val="20"/>
              </w:rPr>
            </w:pPr>
            <w:r w:rsidRPr="006F289C">
              <w:rPr>
                <w:rFonts w:eastAsia="Times New Roman"/>
                <w:sz w:val="20"/>
                <w:szCs w:val="20"/>
              </w:rPr>
              <w:t>CRM Synergies</w:t>
            </w:r>
          </w:p>
        </w:tc>
        <w:tc>
          <w:tcPr>
            <w:tcW w:w="3080" w:type="dxa"/>
            <w:hideMark/>
          </w:tcPr>
          <w:p w14:paraId="57AA65A2" w14:textId="77777777" w:rsidR="00294C38" w:rsidRPr="006F289C" w:rsidRDefault="00294C38" w:rsidP="00B97E7E">
            <w:pPr>
              <w:rPr>
                <w:rFonts w:eastAsia="Times New Roman"/>
                <w:sz w:val="20"/>
                <w:szCs w:val="20"/>
              </w:rPr>
            </w:pPr>
            <w:r w:rsidRPr="006F289C">
              <w:rPr>
                <w:rFonts w:eastAsia="Times New Roman"/>
                <w:sz w:val="20"/>
                <w:szCs w:val="20"/>
              </w:rPr>
              <w:t>Spain</w:t>
            </w:r>
          </w:p>
        </w:tc>
      </w:tr>
      <w:tr w:rsidR="00294C38" w:rsidRPr="006F289C" w14:paraId="06BE3883" w14:textId="77777777" w:rsidTr="00B97E7E">
        <w:trPr>
          <w:trHeight w:val="300"/>
        </w:trPr>
        <w:tc>
          <w:tcPr>
            <w:tcW w:w="1145" w:type="dxa"/>
            <w:noWrap/>
            <w:hideMark/>
          </w:tcPr>
          <w:p w14:paraId="54547B14"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8028302" w14:textId="77777777" w:rsidR="00294C38" w:rsidRPr="006F289C" w:rsidRDefault="00294C38" w:rsidP="00B97E7E">
            <w:pPr>
              <w:rPr>
                <w:rFonts w:eastAsia="Times New Roman"/>
                <w:sz w:val="20"/>
                <w:szCs w:val="20"/>
              </w:rPr>
            </w:pPr>
            <w:r w:rsidRPr="006F289C">
              <w:rPr>
                <w:rFonts w:eastAsia="Times New Roman"/>
                <w:sz w:val="20"/>
                <w:szCs w:val="20"/>
              </w:rPr>
              <w:t xml:space="preserve">Dongguan </w:t>
            </w:r>
            <w:proofErr w:type="spellStart"/>
            <w:r w:rsidRPr="006F289C">
              <w:rPr>
                <w:rFonts w:eastAsia="Times New Roman"/>
                <w:sz w:val="20"/>
                <w:szCs w:val="20"/>
              </w:rPr>
              <w:t>CiEXPO</w:t>
            </w:r>
            <w:proofErr w:type="spellEnd"/>
            <w:r w:rsidRPr="006F289C">
              <w:rPr>
                <w:rFonts w:eastAsia="Times New Roman"/>
                <w:sz w:val="20"/>
                <w:szCs w:val="20"/>
              </w:rPr>
              <w:t xml:space="preserve"> Environmental Engineering Co., Ltd.</w:t>
            </w:r>
          </w:p>
        </w:tc>
        <w:tc>
          <w:tcPr>
            <w:tcW w:w="3080" w:type="dxa"/>
            <w:hideMark/>
          </w:tcPr>
          <w:p w14:paraId="2368CE47"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4B2C3861" w14:textId="77777777" w:rsidTr="00B97E7E">
        <w:trPr>
          <w:trHeight w:val="300"/>
        </w:trPr>
        <w:tc>
          <w:tcPr>
            <w:tcW w:w="1145" w:type="dxa"/>
            <w:noWrap/>
            <w:hideMark/>
          </w:tcPr>
          <w:p w14:paraId="4A8AAE57"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54F14A6" w14:textId="77777777" w:rsidR="00294C38" w:rsidRPr="006F289C" w:rsidRDefault="00294C38" w:rsidP="00B97E7E">
            <w:pPr>
              <w:rPr>
                <w:rFonts w:eastAsia="Times New Roman"/>
                <w:sz w:val="20"/>
                <w:szCs w:val="20"/>
              </w:rPr>
            </w:pPr>
            <w:r w:rsidRPr="006F289C">
              <w:rPr>
                <w:rFonts w:eastAsia="Times New Roman"/>
                <w:sz w:val="20"/>
                <w:szCs w:val="20"/>
              </w:rPr>
              <w:t>Dowa</w:t>
            </w:r>
          </w:p>
        </w:tc>
        <w:tc>
          <w:tcPr>
            <w:tcW w:w="3080" w:type="dxa"/>
            <w:hideMark/>
          </w:tcPr>
          <w:p w14:paraId="05D8045E" w14:textId="77777777" w:rsidR="00294C38" w:rsidRPr="006F289C" w:rsidRDefault="00294C38" w:rsidP="00B97E7E">
            <w:pPr>
              <w:rPr>
                <w:rFonts w:eastAsia="Times New Roman"/>
                <w:sz w:val="20"/>
                <w:szCs w:val="20"/>
              </w:rPr>
            </w:pPr>
            <w:r w:rsidRPr="006F289C">
              <w:rPr>
                <w:rFonts w:eastAsia="Times New Roman"/>
                <w:sz w:val="20"/>
                <w:szCs w:val="20"/>
              </w:rPr>
              <w:t>Japan</w:t>
            </w:r>
          </w:p>
        </w:tc>
      </w:tr>
      <w:tr w:rsidR="00294C38" w:rsidRPr="006F289C" w14:paraId="7D43F9B2" w14:textId="77777777" w:rsidTr="00B97E7E">
        <w:trPr>
          <w:trHeight w:val="600"/>
        </w:trPr>
        <w:tc>
          <w:tcPr>
            <w:tcW w:w="1145" w:type="dxa"/>
            <w:noWrap/>
            <w:hideMark/>
          </w:tcPr>
          <w:p w14:paraId="17A58071"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33D3C27" w14:textId="77777777" w:rsidR="00294C38" w:rsidRPr="006F289C" w:rsidRDefault="00294C38" w:rsidP="00B97E7E">
            <w:pPr>
              <w:rPr>
                <w:rFonts w:eastAsia="Times New Roman"/>
                <w:sz w:val="20"/>
                <w:szCs w:val="20"/>
              </w:rPr>
            </w:pPr>
            <w:r w:rsidRPr="006F289C">
              <w:rPr>
                <w:rFonts w:eastAsia="Times New Roman"/>
                <w:sz w:val="20"/>
                <w:szCs w:val="20"/>
              </w:rPr>
              <w:t>Electro-Mechanical Facility of the Cao Bang Minerals &amp; Metallurgy Joint Stock Company</w:t>
            </w:r>
          </w:p>
        </w:tc>
        <w:tc>
          <w:tcPr>
            <w:tcW w:w="3080" w:type="dxa"/>
            <w:hideMark/>
          </w:tcPr>
          <w:p w14:paraId="1F3988DB" w14:textId="77777777" w:rsidR="00294C38" w:rsidRPr="006F289C" w:rsidRDefault="00294C38" w:rsidP="00B97E7E">
            <w:pPr>
              <w:rPr>
                <w:rFonts w:eastAsia="Times New Roman"/>
                <w:sz w:val="20"/>
                <w:szCs w:val="20"/>
              </w:rPr>
            </w:pPr>
            <w:r w:rsidRPr="006F289C">
              <w:rPr>
                <w:rFonts w:eastAsia="Times New Roman"/>
                <w:sz w:val="20"/>
                <w:szCs w:val="20"/>
              </w:rPr>
              <w:t>Viet Nam</w:t>
            </w:r>
          </w:p>
        </w:tc>
      </w:tr>
      <w:tr w:rsidR="00294C38" w:rsidRPr="006F289C" w14:paraId="053C094D" w14:textId="77777777" w:rsidTr="00B97E7E">
        <w:trPr>
          <w:trHeight w:val="300"/>
        </w:trPr>
        <w:tc>
          <w:tcPr>
            <w:tcW w:w="1145" w:type="dxa"/>
            <w:noWrap/>
            <w:hideMark/>
          </w:tcPr>
          <w:p w14:paraId="33CF0E1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95C358A" w14:textId="77777777" w:rsidR="00294C38" w:rsidRPr="006F289C" w:rsidRDefault="00294C38" w:rsidP="00B97E7E">
            <w:pPr>
              <w:rPr>
                <w:rFonts w:eastAsia="Times New Roman"/>
                <w:sz w:val="20"/>
                <w:szCs w:val="20"/>
              </w:rPr>
            </w:pPr>
            <w:r w:rsidRPr="006F289C">
              <w:rPr>
                <w:rFonts w:eastAsia="Times New Roman"/>
                <w:sz w:val="20"/>
                <w:szCs w:val="20"/>
              </w:rPr>
              <w:t xml:space="preserve">EM </w:t>
            </w:r>
            <w:proofErr w:type="spellStart"/>
            <w:r w:rsidRPr="006F289C">
              <w:rPr>
                <w:rFonts w:eastAsia="Times New Roman"/>
                <w:sz w:val="20"/>
                <w:szCs w:val="20"/>
              </w:rPr>
              <w:t>Vinto</w:t>
            </w:r>
            <w:proofErr w:type="spellEnd"/>
          </w:p>
        </w:tc>
        <w:tc>
          <w:tcPr>
            <w:tcW w:w="3080" w:type="dxa"/>
            <w:hideMark/>
          </w:tcPr>
          <w:p w14:paraId="517EB6EA" w14:textId="77777777" w:rsidR="00294C38" w:rsidRPr="006F289C" w:rsidRDefault="00294C38" w:rsidP="00B97E7E">
            <w:pPr>
              <w:rPr>
                <w:rFonts w:eastAsia="Times New Roman"/>
                <w:sz w:val="20"/>
                <w:szCs w:val="20"/>
              </w:rPr>
            </w:pPr>
            <w:r w:rsidRPr="006F289C">
              <w:rPr>
                <w:rFonts w:eastAsia="Times New Roman"/>
                <w:sz w:val="20"/>
                <w:szCs w:val="20"/>
              </w:rPr>
              <w:t>Bolivia (Plurinational State Of)</w:t>
            </w:r>
          </w:p>
        </w:tc>
      </w:tr>
      <w:tr w:rsidR="00294C38" w:rsidRPr="006F289C" w14:paraId="154EC2F2" w14:textId="77777777" w:rsidTr="00B97E7E">
        <w:trPr>
          <w:trHeight w:val="300"/>
        </w:trPr>
        <w:tc>
          <w:tcPr>
            <w:tcW w:w="1145" w:type="dxa"/>
            <w:noWrap/>
            <w:hideMark/>
          </w:tcPr>
          <w:p w14:paraId="6B3D7DBA"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310D2F99"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Estanho</w:t>
            </w:r>
            <w:proofErr w:type="spellEnd"/>
            <w:r w:rsidRPr="006F289C">
              <w:rPr>
                <w:rFonts w:eastAsia="Times New Roman"/>
                <w:sz w:val="20"/>
                <w:szCs w:val="20"/>
              </w:rPr>
              <w:t xml:space="preserve"> de Rondonia S.A.</w:t>
            </w:r>
          </w:p>
        </w:tc>
        <w:tc>
          <w:tcPr>
            <w:tcW w:w="3080" w:type="dxa"/>
            <w:hideMark/>
          </w:tcPr>
          <w:p w14:paraId="61E7D121"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94C38" w:rsidRPr="006F289C" w14:paraId="15481298" w14:textId="77777777" w:rsidTr="00B97E7E">
        <w:trPr>
          <w:trHeight w:val="300"/>
        </w:trPr>
        <w:tc>
          <w:tcPr>
            <w:tcW w:w="1145" w:type="dxa"/>
            <w:noWrap/>
            <w:hideMark/>
          </w:tcPr>
          <w:p w14:paraId="09997D3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0660691" w14:textId="77777777" w:rsidR="00294C38" w:rsidRPr="006F289C" w:rsidRDefault="00294C38" w:rsidP="00B97E7E">
            <w:pPr>
              <w:rPr>
                <w:rFonts w:eastAsia="Times New Roman"/>
                <w:sz w:val="20"/>
                <w:szCs w:val="20"/>
              </w:rPr>
            </w:pPr>
            <w:r w:rsidRPr="006F289C">
              <w:rPr>
                <w:rFonts w:eastAsia="Times New Roman"/>
                <w:sz w:val="20"/>
                <w:szCs w:val="20"/>
              </w:rPr>
              <w:t>Fabrica Auricchio Industria e Comercio Ltda.</w:t>
            </w:r>
          </w:p>
        </w:tc>
        <w:tc>
          <w:tcPr>
            <w:tcW w:w="3080" w:type="dxa"/>
            <w:hideMark/>
          </w:tcPr>
          <w:p w14:paraId="4516C31D"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94C38" w:rsidRPr="006F289C" w14:paraId="07311077" w14:textId="77777777" w:rsidTr="00B97E7E">
        <w:trPr>
          <w:trHeight w:val="300"/>
        </w:trPr>
        <w:tc>
          <w:tcPr>
            <w:tcW w:w="1145" w:type="dxa"/>
            <w:noWrap/>
            <w:hideMark/>
          </w:tcPr>
          <w:p w14:paraId="08FE09A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4C4A9CE" w14:textId="77777777" w:rsidR="00294C38" w:rsidRPr="006F289C" w:rsidRDefault="00294C38" w:rsidP="00B97E7E">
            <w:pPr>
              <w:rPr>
                <w:rFonts w:eastAsia="Times New Roman"/>
                <w:sz w:val="20"/>
                <w:szCs w:val="20"/>
              </w:rPr>
            </w:pPr>
            <w:r w:rsidRPr="006F289C">
              <w:rPr>
                <w:rFonts w:eastAsia="Times New Roman"/>
                <w:sz w:val="20"/>
                <w:szCs w:val="20"/>
              </w:rPr>
              <w:t>Fenix Metals</w:t>
            </w:r>
          </w:p>
        </w:tc>
        <w:tc>
          <w:tcPr>
            <w:tcW w:w="3080" w:type="dxa"/>
            <w:hideMark/>
          </w:tcPr>
          <w:p w14:paraId="57B2F36A" w14:textId="77777777" w:rsidR="00294C38" w:rsidRPr="006F289C" w:rsidRDefault="00294C38" w:rsidP="00B97E7E">
            <w:pPr>
              <w:rPr>
                <w:rFonts w:eastAsia="Times New Roman"/>
                <w:sz w:val="20"/>
                <w:szCs w:val="20"/>
              </w:rPr>
            </w:pPr>
            <w:r w:rsidRPr="006F289C">
              <w:rPr>
                <w:rFonts w:eastAsia="Times New Roman"/>
                <w:sz w:val="20"/>
                <w:szCs w:val="20"/>
              </w:rPr>
              <w:t>Poland</w:t>
            </w:r>
          </w:p>
        </w:tc>
      </w:tr>
      <w:tr w:rsidR="00294C38" w:rsidRPr="006F289C" w14:paraId="2F442152" w14:textId="77777777" w:rsidTr="00B97E7E">
        <w:trPr>
          <w:trHeight w:val="300"/>
        </w:trPr>
        <w:tc>
          <w:tcPr>
            <w:tcW w:w="1145" w:type="dxa"/>
            <w:noWrap/>
            <w:hideMark/>
          </w:tcPr>
          <w:p w14:paraId="00514860"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952459E"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Gejiu</w:t>
            </w:r>
            <w:proofErr w:type="spellEnd"/>
            <w:r w:rsidRPr="006F289C">
              <w:rPr>
                <w:rFonts w:eastAsia="Times New Roman"/>
                <w:sz w:val="20"/>
                <w:szCs w:val="20"/>
              </w:rPr>
              <w:t xml:space="preserve"> City </w:t>
            </w:r>
            <w:proofErr w:type="spellStart"/>
            <w:r w:rsidRPr="006F289C">
              <w:rPr>
                <w:rFonts w:eastAsia="Times New Roman"/>
                <w:sz w:val="20"/>
                <w:szCs w:val="20"/>
              </w:rPr>
              <w:t>Fuxiang</w:t>
            </w:r>
            <w:proofErr w:type="spellEnd"/>
            <w:r w:rsidRPr="006F289C">
              <w:rPr>
                <w:rFonts w:eastAsia="Times New Roman"/>
                <w:sz w:val="20"/>
                <w:szCs w:val="20"/>
              </w:rPr>
              <w:t xml:space="preserve"> Industry and Trade Co., Ltd.</w:t>
            </w:r>
          </w:p>
        </w:tc>
        <w:tc>
          <w:tcPr>
            <w:tcW w:w="3080" w:type="dxa"/>
            <w:hideMark/>
          </w:tcPr>
          <w:p w14:paraId="7445A7D2"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665D3545" w14:textId="77777777" w:rsidTr="00B97E7E">
        <w:trPr>
          <w:trHeight w:val="300"/>
        </w:trPr>
        <w:tc>
          <w:tcPr>
            <w:tcW w:w="1145" w:type="dxa"/>
            <w:noWrap/>
            <w:hideMark/>
          </w:tcPr>
          <w:p w14:paraId="63BF0E58"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339631B7"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Gejiu</w:t>
            </w:r>
            <w:proofErr w:type="spellEnd"/>
            <w:r w:rsidRPr="006F289C">
              <w:rPr>
                <w:rFonts w:eastAsia="Times New Roman"/>
                <w:sz w:val="20"/>
                <w:szCs w:val="20"/>
              </w:rPr>
              <w:t xml:space="preserve"> Kai Meng Industry and Trade LLC</w:t>
            </w:r>
          </w:p>
        </w:tc>
        <w:tc>
          <w:tcPr>
            <w:tcW w:w="3080" w:type="dxa"/>
            <w:hideMark/>
          </w:tcPr>
          <w:p w14:paraId="23FE1AF7"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123EB861" w14:textId="77777777" w:rsidTr="00B97E7E">
        <w:trPr>
          <w:trHeight w:val="300"/>
        </w:trPr>
        <w:tc>
          <w:tcPr>
            <w:tcW w:w="1145" w:type="dxa"/>
            <w:noWrap/>
            <w:hideMark/>
          </w:tcPr>
          <w:p w14:paraId="20D1731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E39A0E3"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Gejiu</w:t>
            </w:r>
            <w:proofErr w:type="spellEnd"/>
            <w:r w:rsidRPr="006F289C">
              <w:rPr>
                <w:rFonts w:eastAsia="Times New Roman"/>
                <w:sz w:val="20"/>
                <w:szCs w:val="20"/>
              </w:rPr>
              <w:t xml:space="preserve"> Non-Ferrous Metal Processing Co., Ltd.</w:t>
            </w:r>
          </w:p>
        </w:tc>
        <w:tc>
          <w:tcPr>
            <w:tcW w:w="3080" w:type="dxa"/>
            <w:hideMark/>
          </w:tcPr>
          <w:p w14:paraId="23DDE248"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7A3FEC34" w14:textId="77777777" w:rsidTr="00B97E7E">
        <w:trPr>
          <w:trHeight w:val="300"/>
        </w:trPr>
        <w:tc>
          <w:tcPr>
            <w:tcW w:w="1145" w:type="dxa"/>
            <w:noWrap/>
            <w:hideMark/>
          </w:tcPr>
          <w:p w14:paraId="0B341B03"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8FCF749"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Gejiu</w:t>
            </w:r>
            <w:proofErr w:type="spellEnd"/>
            <w:r w:rsidRPr="006F289C">
              <w:rPr>
                <w:rFonts w:eastAsia="Times New Roman"/>
                <w:sz w:val="20"/>
                <w:szCs w:val="20"/>
              </w:rPr>
              <w:t xml:space="preserve"> </w:t>
            </w:r>
            <w:proofErr w:type="spellStart"/>
            <w:r w:rsidRPr="006F289C">
              <w:rPr>
                <w:rFonts w:eastAsia="Times New Roman"/>
                <w:sz w:val="20"/>
                <w:szCs w:val="20"/>
              </w:rPr>
              <w:t>Yunxin</w:t>
            </w:r>
            <w:proofErr w:type="spellEnd"/>
            <w:r w:rsidRPr="006F289C">
              <w:rPr>
                <w:rFonts w:eastAsia="Times New Roman"/>
                <w:sz w:val="20"/>
                <w:szCs w:val="20"/>
              </w:rPr>
              <w:t xml:space="preserve"> Nonferrous Electrolysis Co., Ltd.</w:t>
            </w:r>
          </w:p>
        </w:tc>
        <w:tc>
          <w:tcPr>
            <w:tcW w:w="3080" w:type="dxa"/>
            <w:hideMark/>
          </w:tcPr>
          <w:p w14:paraId="4BA7AA5F"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11858C51" w14:textId="77777777" w:rsidTr="00B97E7E">
        <w:trPr>
          <w:trHeight w:val="300"/>
        </w:trPr>
        <w:tc>
          <w:tcPr>
            <w:tcW w:w="1145" w:type="dxa"/>
            <w:noWrap/>
            <w:hideMark/>
          </w:tcPr>
          <w:p w14:paraId="0155841A"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8B97AA3"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Gejiu</w:t>
            </w:r>
            <w:proofErr w:type="spellEnd"/>
            <w:r w:rsidRPr="006F289C">
              <w:rPr>
                <w:rFonts w:eastAsia="Times New Roman"/>
                <w:sz w:val="20"/>
                <w:szCs w:val="20"/>
              </w:rPr>
              <w:t xml:space="preserve"> Zili Mining And Metallurgy Co., Ltd.</w:t>
            </w:r>
          </w:p>
        </w:tc>
        <w:tc>
          <w:tcPr>
            <w:tcW w:w="3080" w:type="dxa"/>
            <w:hideMark/>
          </w:tcPr>
          <w:p w14:paraId="0EA2AAF7"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EF02A5" w:rsidRPr="006F289C" w14:paraId="78662EFA" w14:textId="77777777" w:rsidTr="00B97E7E">
        <w:trPr>
          <w:trHeight w:val="300"/>
        </w:trPr>
        <w:tc>
          <w:tcPr>
            <w:tcW w:w="1145" w:type="dxa"/>
            <w:noWrap/>
          </w:tcPr>
          <w:p w14:paraId="79061831" w14:textId="6890F4FC" w:rsidR="00EF02A5" w:rsidRPr="006F289C" w:rsidRDefault="00EF02A5" w:rsidP="00B97E7E">
            <w:pPr>
              <w:rPr>
                <w:rFonts w:eastAsia="Times New Roman"/>
                <w:color w:val="343A40"/>
                <w:sz w:val="20"/>
                <w:szCs w:val="20"/>
              </w:rPr>
            </w:pPr>
            <w:r>
              <w:rPr>
                <w:rFonts w:eastAsia="Times New Roman"/>
                <w:color w:val="343A40"/>
                <w:sz w:val="20"/>
                <w:szCs w:val="20"/>
              </w:rPr>
              <w:t>Tin</w:t>
            </w:r>
          </w:p>
        </w:tc>
        <w:tc>
          <w:tcPr>
            <w:tcW w:w="4837" w:type="dxa"/>
          </w:tcPr>
          <w:p w14:paraId="79DB0D01" w14:textId="4D154214" w:rsidR="00EF02A5" w:rsidRPr="006F289C" w:rsidRDefault="00EF02A5" w:rsidP="00B97E7E">
            <w:pPr>
              <w:rPr>
                <w:rFonts w:eastAsia="Times New Roman"/>
                <w:sz w:val="20"/>
                <w:szCs w:val="20"/>
              </w:rPr>
            </w:pPr>
            <w:r>
              <w:rPr>
                <w:rFonts w:eastAsia="Times New Roman"/>
                <w:sz w:val="20"/>
                <w:szCs w:val="20"/>
              </w:rPr>
              <w:t>Global Advanced Metas Greenbushes Pty Ltd.</w:t>
            </w:r>
          </w:p>
        </w:tc>
        <w:tc>
          <w:tcPr>
            <w:tcW w:w="3080" w:type="dxa"/>
          </w:tcPr>
          <w:p w14:paraId="638ECD48" w14:textId="725F8A59" w:rsidR="00EF02A5" w:rsidRPr="006F289C" w:rsidRDefault="00EF02A5" w:rsidP="00B97E7E">
            <w:pPr>
              <w:rPr>
                <w:rFonts w:eastAsia="Times New Roman"/>
                <w:sz w:val="20"/>
                <w:szCs w:val="20"/>
              </w:rPr>
            </w:pPr>
            <w:r>
              <w:rPr>
                <w:rFonts w:eastAsia="Times New Roman"/>
                <w:sz w:val="20"/>
                <w:szCs w:val="20"/>
              </w:rPr>
              <w:t>Australia</w:t>
            </w:r>
          </w:p>
        </w:tc>
      </w:tr>
      <w:tr w:rsidR="00294C38" w:rsidRPr="006F289C" w14:paraId="4764485A" w14:textId="77777777" w:rsidTr="00B97E7E">
        <w:trPr>
          <w:trHeight w:val="300"/>
        </w:trPr>
        <w:tc>
          <w:tcPr>
            <w:tcW w:w="1145" w:type="dxa"/>
            <w:noWrap/>
            <w:hideMark/>
          </w:tcPr>
          <w:p w14:paraId="0FD59C1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0D1BFDA" w14:textId="77777777" w:rsidR="00294C38" w:rsidRPr="006F289C" w:rsidRDefault="00294C38" w:rsidP="00B97E7E">
            <w:pPr>
              <w:rPr>
                <w:rFonts w:eastAsia="Times New Roman"/>
                <w:sz w:val="20"/>
                <w:szCs w:val="20"/>
              </w:rPr>
            </w:pPr>
            <w:r w:rsidRPr="006F289C">
              <w:rPr>
                <w:rFonts w:eastAsia="Times New Roman"/>
                <w:sz w:val="20"/>
                <w:szCs w:val="20"/>
              </w:rPr>
              <w:t xml:space="preserve">Guangdong </w:t>
            </w:r>
            <w:proofErr w:type="spellStart"/>
            <w:r w:rsidRPr="006F289C">
              <w:rPr>
                <w:rFonts w:eastAsia="Times New Roman"/>
                <w:sz w:val="20"/>
                <w:szCs w:val="20"/>
              </w:rPr>
              <w:t>Hanhe</w:t>
            </w:r>
            <w:proofErr w:type="spellEnd"/>
            <w:r w:rsidRPr="006F289C">
              <w:rPr>
                <w:rFonts w:eastAsia="Times New Roman"/>
                <w:sz w:val="20"/>
                <w:szCs w:val="20"/>
              </w:rPr>
              <w:t xml:space="preserve"> Non-Ferrous Metal Co., Ltd.</w:t>
            </w:r>
          </w:p>
        </w:tc>
        <w:tc>
          <w:tcPr>
            <w:tcW w:w="3080" w:type="dxa"/>
            <w:hideMark/>
          </w:tcPr>
          <w:p w14:paraId="59B9C916"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4E9A5BB5" w14:textId="77777777" w:rsidTr="00B97E7E">
        <w:trPr>
          <w:trHeight w:val="300"/>
        </w:trPr>
        <w:tc>
          <w:tcPr>
            <w:tcW w:w="1145" w:type="dxa"/>
            <w:noWrap/>
            <w:hideMark/>
          </w:tcPr>
          <w:p w14:paraId="11FB6B3A"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54D541A" w14:textId="77777777" w:rsidR="00294C38" w:rsidRPr="006F289C" w:rsidRDefault="00294C38" w:rsidP="00B97E7E">
            <w:pPr>
              <w:rPr>
                <w:rFonts w:eastAsia="Times New Roman"/>
                <w:sz w:val="20"/>
                <w:szCs w:val="20"/>
              </w:rPr>
            </w:pPr>
            <w:r w:rsidRPr="006F289C">
              <w:rPr>
                <w:rFonts w:eastAsia="Times New Roman"/>
                <w:sz w:val="20"/>
                <w:szCs w:val="20"/>
              </w:rPr>
              <w:t>Jiangxi New Nanshan Technology Ltd.</w:t>
            </w:r>
          </w:p>
        </w:tc>
        <w:tc>
          <w:tcPr>
            <w:tcW w:w="3080" w:type="dxa"/>
            <w:hideMark/>
          </w:tcPr>
          <w:p w14:paraId="32A066F4"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EF02A5" w:rsidRPr="006F289C" w14:paraId="63A4A182" w14:textId="77777777" w:rsidTr="00B97E7E">
        <w:trPr>
          <w:trHeight w:val="300"/>
        </w:trPr>
        <w:tc>
          <w:tcPr>
            <w:tcW w:w="1145" w:type="dxa"/>
            <w:noWrap/>
          </w:tcPr>
          <w:p w14:paraId="4F7411EB" w14:textId="37B5C35B" w:rsidR="00EF02A5" w:rsidRPr="006F289C" w:rsidRDefault="00EF02A5" w:rsidP="00B97E7E">
            <w:pPr>
              <w:rPr>
                <w:rFonts w:eastAsia="Times New Roman"/>
                <w:color w:val="343A40"/>
                <w:sz w:val="20"/>
                <w:szCs w:val="20"/>
              </w:rPr>
            </w:pPr>
            <w:r>
              <w:rPr>
                <w:rFonts w:eastAsia="Times New Roman"/>
                <w:color w:val="343A40"/>
                <w:sz w:val="20"/>
                <w:szCs w:val="20"/>
              </w:rPr>
              <w:t>Tin</w:t>
            </w:r>
          </w:p>
        </w:tc>
        <w:tc>
          <w:tcPr>
            <w:tcW w:w="4837" w:type="dxa"/>
          </w:tcPr>
          <w:p w14:paraId="32E04388" w14:textId="53843310" w:rsidR="00EF02A5" w:rsidRPr="006F289C" w:rsidRDefault="00EF02A5" w:rsidP="00B97E7E">
            <w:pPr>
              <w:rPr>
                <w:rFonts w:eastAsia="Times New Roman"/>
                <w:sz w:val="20"/>
                <w:szCs w:val="20"/>
              </w:rPr>
            </w:pPr>
            <w:proofErr w:type="spellStart"/>
            <w:r>
              <w:rPr>
                <w:rFonts w:eastAsia="Times New Roman"/>
                <w:sz w:val="20"/>
                <w:szCs w:val="20"/>
              </w:rPr>
              <w:t>Longnan</w:t>
            </w:r>
            <w:proofErr w:type="spellEnd"/>
            <w:r>
              <w:rPr>
                <w:rFonts w:eastAsia="Times New Roman"/>
                <w:sz w:val="20"/>
                <w:szCs w:val="20"/>
              </w:rPr>
              <w:t xml:space="preserve"> </w:t>
            </w:r>
            <w:proofErr w:type="spellStart"/>
            <w:r>
              <w:rPr>
                <w:rFonts w:eastAsia="Times New Roman"/>
                <w:sz w:val="20"/>
                <w:szCs w:val="20"/>
              </w:rPr>
              <w:t>Chuangyue</w:t>
            </w:r>
            <w:proofErr w:type="spellEnd"/>
            <w:r>
              <w:rPr>
                <w:rFonts w:eastAsia="Times New Roman"/>
                <w:sz w:val="20"/>
                <w:szCs w:val="20"/>
              </w:rPr>
              <w:t xml:space="preserve"> Environmental Protection Technology Development Co., Ltd.</w:t>
            </w:r>
          </w:p>
        </w:tc>
        <w:tc>
          <w:tcPr>
            <w:tcW w:w="3080" w:type="dxa"/>
          </w:tcPr>
          <w:p w14:paraId="608B861B" w14:textId="3886FA9C" w:rsidR="00EF02A5" w:rsidRPr="006F289C" w:rsidRDefault="00EF02A5" w:rsidP="00B97E7E">
            <w:pPr>
              <w:rPr>
                <w:rFonts w:eastAsia="Times New Roman"/>
                <w:sz w:val="20"/>
                <w:szCs w:val="20"/>
              </w:rPr>
            </w:pPr>
            <w:r>
              <w:rPr>
                <w:rFonts w:eastAsia="Times New Roman"/>
                <w:sz w:val="20"/>
                <w:szCs w:val="20"/>
              </w:rPr>
              <w:t>China</w:t>
            </w:r>
          </w:p>
        </w:tc>
      </w:tr>
      <w:tr w:rsidR="00294C38" w:rsidRPr="006F289C" w14:paraId="56871A6C" w14:textId="77777777" w:rsidTr="00B97E7E">
        <w:trPr>
          <w:trHeight w:val="300"/>
        </w:trPr>
        <w:tc>
          <w:tcPr>
            <w:tcW w:w="1145" w:type="dxa"/>
            <w:noWrap/>
            <w:hideMark/>
          </w:tcPr>
          <w:p w14:paraId="12BD0A0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9361E6E" w14:textId="77777777" w:rsidR="00294C38" w:rsidRPr="006F289C" w:rsidRDefault="00294C38" w:rsidP="00B97E7E">
            <w:pPr>
              <w:rPr>
                <w:rFonts w:eastAsia="Times New Roman"/>
                <w:sz w:val="20"/>
                <w:szCs w:val="20"/>
              </w:rPr>
            </w:pPr>
            <w:r w:rsidRPr="006F289C">
              <w:rPr>
                <w:rFonts w:eastAsia="Times New Roman"/>
                <w:sz w:val="20"/>
                <w:szCs w:val="20"/>
              </w:rPr>
              <w:t xml:space="preserve">Luna </w:t>
            </w:r>
            <w:proofErr w:type="gramStart"/>
            <w:r w:rsidRPr="006F289C">
              <w:rPr>
                <w:rFonts w:eastAsia="Times New Roman"/>
                <w:sz w:val="20"/>
                <w:szCs w:val="20"/>
              </w:rPr>
              <w:t>Smelter,</w:t>
            </w:r>
            <w:proofErr w:type="gramEnd"/>
            <w:r w:rsidRPr="006F289C">
              <w:rPr>
                <w:rFonts w:eastAsia="Times New Roman"/>
                <w:sz w:val="20"/>
                <w:szCs w:val="20"/>
              </w:rPr>
              <w:t xml:space="preserve"> Ltd.</w:t>
            </w:r>
          </w:p>
        </w:tc>
        <w:tc>
          <w:tcPr>
            <w:tcW w:w="3080" w:type="dxa"/>
            <w:hideMark/>
          </w:tcPr>
          <w:p w14:paraId="2C3A6024" w14:textId="77777777" w:rsidR="00294C38" w:rsidRPr="006F289C" w:rsidRDefault="00294C38" w:rsidP="00B97E7E">
            <w:pPr>
              <w:rPr>
                <w:rFonts w:eastAsia="Times New Roman"/>
                <w:sz w:val="20"/>
                <w:szCs w:val="20"/>
              </w:rPr>
            </w:pPr>
            <w:r w:rsidRPr="006F289C">
              <w:rPr>
                <w:rFonts w:eastAsia="Times New Roman"/>
                <w:sz w:val="20"/>
                <w:szCs w:val="20"/>
              </w:rPr>
              <w:t>Rwanda</w:t>
            </w:r>
          </w:p>
        </w:tc>
      </w:tr>
      <w:tr w:rsidR="00294C38" w:rsidRPr="006F289C" w14:paraId="6F429F69" w14:textId="77777777" w:rsidTr="00B97E7E">
        <w:trPr>
          <w:trHeight w:val="300"/>
        </w:trPr>
        <w:tc>
          <w:tcPr>
            <w:tcW w:w="1145" w:type="dxa"/>
            <w:noWrap/>
            <w:hideMark/>
          </w:tcPr>
          <w:p w14:paraId="180D76CE"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579380F2"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Ma'anshan</w:t>
            </w:r>
            <w:proofErr w:type="spellEnd"/>
            <w:r w:rsidRPr="006F289C">
              <w:rPr>
                <w:rFonts w:eastAsia="Times New Roman"/>
                <w:sz w:val="20"/>
                <w:szCs w:val="20"/>
              </w:rPr>
              <w:t xml:space="preserve"> </w:t>
            </w:r>
            <w:proofErr w:type="spellStart"/>
            <w:r w:rsidRPr="006F289C">
              <w:rPr>
                <w:rFonts w:eastAsia="Times New Roman"/>
                <w:sz w:val="20"/>
                <w:szCs w:val="20"/>
              </w:rPr>
              <w:t>Weitai</w:t>
            </w:r>
            <w:proofErr w:type="spellEnd"/>
            <w:r w:rsidRPr="006F289C">
              <w:rPr>
                <w:rFonts w:eastAsia="Times New Roman"/>
                <w:sz w:val="20"/>
                <w:szCs w:val="20"/>
              </w:rPr>
              <w:t xml:space="preserve"> Tin Co., Ltd.</w:t>
            </w:r>
          </w:p>
        </w:tc>
        <w:tc>
          <w:tcPr>
            <w:tcW w:w="3080" w:type="dxa"/>
            <w:hideMark/>
          </w:tcPr>
          <w:p w14:paraId="50C6A206"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36957621" w14:textId="77777777" w:rsidTr="00B97E7E">
        <w:trPr>
          <w:trHeight w:val="300"/>
        </w:trPr>
        <w:tc>
          <w:tcPr>
            <w:tcW w:w="1145" w:type="dxa"/>
            <w:noWrap/>
            <w:hideMark/>
          </w:tcPr>
          <w:p w14:paraId="69EA7A2D"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35DF413"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Magnu's</w:t>
            </w:r>
            <w:proofErr w:type="spellEnd"/>
            <w:r w:rsidRPr="006F289C">
              <w:rPr>
                <w:rFonts w:eastAsia="Times New Roman"/>
                <w:sz w:val="20"/>
                <w:szCs w:val="20"/>
              </w:rPr>
              <w:t xml:space="preserve"> </w:t>
            </w:r>
            <w:proofErr w:type="spellStart"/>
            <w:r w:rsidRPr="006F289C">
              <w:rPr>
                <w:rFonts w:eastAsia="Times New Roman"/>
                <w:sz w:val="20"/>
                <w:szCs w:val="20"/>
              </w:rPr>
              <w:t>Minerais</w:t>
            </w:r>
            <w:proofErr w:type="spellEnd"/>
            <w:r w:rsidRPr="006F289C">
              <w:rPr>
                <w:rFonts w:eastAsia="Times New Roman"/>
                <w:sz w:val="20"/>
                <w:szCs w:val="20"/>
              </w:rPr>
              <w:t xml:space="preserve"> </w:t>
            </w:r>
            <w:proofErr w:type="spellStart"/>
            <w:r w:rsidRPr="006F289C">
              <w:rPr>
                <w:rFonts w:eastAsia="Times New Roman"/>
                <w:sz w:val="20"/>
                <w:szCs w:val="20"/>
              </w:rPr>
              <w:t>Metais</w:t>
            </w:r>
            <w:proofErr w:type="spellEnd"/>
            <w:r w:rsidRPr="006F289C">
              <w:rPr>
                <w:rFonts w:eastAsia="Times New Roman"/>
                <w:sz w:val="20"/>
                <w:szCs w:val="20"/>
              </w:rPr>
              <w:t xml:space="preserve"> e Ligas Ltda.</w:t>
            </w:r>
          </w:p>
        </w:tc>
        <w:tc>
          <w:tcPr>
            <w:tcW w:w="3080" w:type="dxa"/>
            <w:hideMark/>
          </w:tcPr>
          <w:p w14:paraId="2669740A"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94C38" w:rsidRPr="006F289C" w14:paraId="0FE8FB53" w14:textId="77777777" w:rsidTr="00B97E7E">
        <w:trPr>
          <w:trHeight w:val="300"/>
        </w:trPr>
        <w:tc>
          <w:tcPr>
            <w:tcW w:w="1145" w:type="dxa"/>
            <w:noWrap/>
            <w:hideMark/>
          </w:tcPr>
          <w:p w14:paraId="1EE1A94E"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5228DC98" w14:textId="77777777" w:rsidR="00294C38" w:rsidRPr="006F289C" w:rsidRDefault="00294C38" w:rsidP="00B97E7E">
            <w:pPr>
              <w:rPr>
                <w:rFonts w:eastAsia="Times New Roman"/>
                <w:sz w:val="20"/>
                <w:szCs w:val="20"/>
              </w:rPr>
            </w:pPr>
            <w:r w:rsidRPr="006F289C">
              <w:rPr>
                <w:rFonts w:eastAsia="Times New Roman"/>
                <w:sz w:val="20"/>
                <w:szCs w:val="20"/>
              </w:rPr>
              <w:t>Malaysia Smelting Corporation (MSC)</w:t>
            </w:r>
          </w:p>
        </w:tc>
        <w:tc>
          <w:tcPr>
            <w:tcW w:w="3080" w:type="dxa"/>
            <w:hideMark/>
          </w:tcPr>
          <w:p w14:paraId="04A38319" w14:textId="77777777" w:rsidR="00294C38" w:rsidRPr="006F289C" w:rsidRDefault="00294C38" w:rsidP="00B97E7E">
            <w:pPr>
              <w:rPr>
                <w:rFonts w:eastAsia="Times New Roman"/>
                <w:sz w:val="20"/>
                <w:szCs w:val="20"/>
              </w:rPr>
            </w:pPr>
            <w:r w:rsidRPr="006F289C">
              <w:rPr>
                <w:rFonts w:eastAsia="Times New Roman"/>
                <w:sz w:val="20"/>
                <w:szCs w:val="20"/>
              </w:rPr>
              <w:t>Malaysia</w:t>
            </w:r>
          </w:p>
        </w:tc>
      </w:tr>
      <w:tr w:rsidR="00294C38" w:rsidRPr="006F289C" w14:paraId="5670AD47" w14:textId="77777777" w:rsidTr="00B97E7E">
        <w:trPr>
          <w:trHeight w:val="300"/>
        </w:trPr>
        <w:tc>
          <w:tcPr>
            <w:tcW w:w="1145" w:type="dxa"/>
            <w:noWrap/>
            <w:hideMark/>
          </w:tcPr>
          <w:p w14:paraId="77FE5D31"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lastRenderedPageBreak/>
              <w:t>Tin</w:t>
            </w:r>
          </w:p>
        </w:tc>
        <w:tc>
          <w:tcPr>
            <w:tcW w:w="4837" w:type="dxa"/>
            <w:hideMark/>
          </w:tcPr>
          <w:p w14:paraId="744A09EC" w14:textId="77777777" w:rsidR="00294C38" w:rsidRPr="006F289C" w:rsidRDefault="00294C38" w:rsidP="00B97E7E">
            <w:pPr>
              <w:rPr>
                <w:rFonts w:eastAsia="Times New Roman"/>
                <w:sz w:val="20"/>
                <w:szCs w:val="20"/>
              </w:rPr>
            </w:pPr>
            <w:r w:rsidRPr="006F289C">
              <w:rPr>
                <w:rFonts w:eastAsia="Times New Roman"/>
                <w:sz w:val="20"/>
                <w:szCs w:val="20"/>
              </w:rPr>
              <w:t>Malaysia Smelting Corporation Berhad (Port Klang)</w:t>
            </w:r>
          </w:p>
        </w:tc>
        <w:tc>
          <w:tcPr>
            <w:tcW w:w="3080" w:type="dxa"/>
            <w:hideMark/>
          </w:tcPr>
          <w:p w14:paraId="576B9CF1" w14:textId="77777777" w:rsidR="00294C38" w:rsidRPr="006F289C" w:rsidRDefault="00294C38" w:rsidP="00B97E7E">
            <w:pPr>
              <w:rPr>
                <w:rFonts w:eastAsia="Times New Roman"/>
                <w:sz w:val="20"/>
                <w:szCs w:val="20"/>
              </w:rPr>
            </w:pPr>
            <w:r w:rsidRPr="006F289C">
              <w:rPr>
                <w:rFonts w:eastAsia="Times New Roman"/>
                <w:sz w:val="20"/>
                <w:szCs w:val="20"/>
              </w:rPr>
              <w:t>Malaysia</w:t>
            </w:r>
          </w:p>
        </w:tc>
      </w:tr>
      <w:tr w:rsidR="00294C38" w:rsidRPr="006F289C" w14:paraId="6D75FC0B" w14:textId="77777777" w:rsidTr="00B97E7E">
        <w:trPr>
          <w:trHeight w:val="300"/>
        </w:trPr>
        <w:tc>
          <w:tcPr>
            <w:tcW w:w="1145" w:type="dxa"/>
            <w:noWrap/>
            <w:hideMark/>
          </w:tcPr>
          <w:p w14:paraId="3BB473EE"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4D043F6" w14:textId="77777777" w:rsidR="00294C38" w:rsidRPr="006F289C" w:rsidRDefault="00294C38" w:rsidP="00B97E7E">
            <w:pPr>
              <w:rPr>
                <w:rFonts w:eastAsia="Times New Roman"/>
                <w:sz w:val="20"/>
                <w:szCs w:val="20"/>
              </w:rPr>
            </w:pPr>
            <w:r w:rsidRPr="006F289C">
              <w:rPr>
                <w:rFonts w:eastAsia="Times New Roman"/>
                <w:sz w:val="20"/>
                <w:szCs w:val="20"/>
              </w:rPr>
              <w:t xml:space="preserve">Melt </w:t>
            </w:r>
            <w:proofErr w:type="spellStart"/>
            <w:r w:rsidRPr="006F289C">
              <w:rPr>
                <w:rFonts w:eastAsia="Times New Roman"/>
                <w:sz w:val="20"/>
                <w:szCs w:val="20"/>
              </w:rPr>
              <w:t>Metais</w:t>
            </w:r>
            <w:proofErr w:type="spellEnd"/>
            <w:r w:rsidRPr="006F289C">
              <w:rPr>
                <w:rFonts w:eastAsia="Times New Roman"/>
                <w:sz w:val="20"/>
                <w:szCs w:val="20"/>
              </w:rPr>
              <w:t xml:space="preserve"> e Ligas S.A.</w:t>
            </w:r>
          </w:p>
        </w:tc>
        <w:tc>
          <w:tcPr>
            <w:tcW w:w="3080" w:type="dxa"/>
            <w:hideMark/>
          </w:tcPr>
          <w:p w14:paraId="14CBE752"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94C38" w:rsidRPr="006F289C" w14:paraId="2AF53769" w14:textId="77777777" w:rsidTr="00B97E7E">
        <w:trPr>
          <w:trHeight w:val="300"/>
        </w:trPr>
        <w:tc>
          <w:tcPr>
            <w:tcW w:w="1145" w:type="dxa"/>
            <w:noWrap/>
            <w:hideMark/>
          </w:tcPr>
          <w:p w14:paraId="6253283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B3B518D" w14:textId="77777777" w:rsidR="00294C38" w:rsidRPr="006F289C" w:rsidRDefault="00294C38" w:rsidP="00B97E7E">
            <w:pPr>
              <w:rPr>
                <w:rFonts w:eastAsia="Times New Roman"/>
                <w:sz w:val="20"/>
                <w:szCs w:val="20"/>
              </w:rPr>
            </w:pPr>
            <w:r w:rsidRPr="006F289C">
              <w:rPr>
                <w:rFonts w:eastAsia="Times New Roman"/>
                <w:sz w:val="20"/>
                <w:szCs w:val="20"/>
              </w:rPr>
              <w:t>Metallic Resources, Inc.</w:t>
            </w:r>
          </w:p>
        </w:tc>
        <w:tc>
          <w:tcPr>
            <w:tcW w:w="3080" w:type="dxa"/>
            <w:hideMark/>
          </w:tcPr>
          <w:p w14:paraId="1DB45A34" w14:textId="77777777" w:rsidR="00294C38" w:rsidRPr="006F289C" w:rsidRDefault="00294C38" w:rsidP="00B97E7E">
            <w:pPr>
              <w:rPr>
                <w:rFonts w:eastAsia="Times New Roman"/>
                <w:sz w:val="20"/>
                <w:szCs w:val="20"/>
              </w:rPr>
            </w:pPr>
            <w:r w:rsidRPr="006F289C">
              <w:rPr>
                <w:rFonts w:eastAsia="Times New Roman"/>
                <w:sz w:val="20"/>
                <w:szCs w:val="20"/>
              </w:rPr>
              <w:t>United States Of America</w:t>
            </w:r>
          </w:p>
        </w:tc>
      </w:tr>
      <w:tr w:rsidR="00294C38" w:rsidRPr="006F289C" w14:paraId="52C5B246" w14:textId="77777777" w:rsidTr="00B97E7E">
        <w:trPr>
          <w:trHeight w:val="300"/>
        </w:trPr>
        <w:tc>
          <w:tcPr>
            <w:tcW w:w="1145" w:type="dxa"/>
            <w:noWrap/>
            <w:hideMark/>
          </w:tcPr>
          <w:p w14:paraId="1C5B8BA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F09CE66"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Mineracao</w:t>
            </w:r>
            <w:proofErr w:type="spellEnd"/>
            <w:r w:rsidRPr="006F289C">
              <w:rPr>
                <w:rFonts w:eastAsia="Times New Roman"/>
                <w:sz w:val="20"/>
                <w:szCs w:val="20"/>
              </w:rPr>
              <w:t xml:space="preserve"> </w:t>
            </w:r>
            <w:proofErr w:type="spellStart"/>
            <w:r w:rsidRPr="006F289C">
              <w:rPr>
                <w:rFonts w:eastAsia="Times New Roman"/>
                <w:sz w:val="20"/>
                <w:szCs w:val="20"/>
              </w:rPr>
              <w:t>Taboca</w:t>
            </w:r>
            <w:proofErr w:type="spellEnd"/>
            <w:r w:rsidRPr="006F289C">
              <w:rPr>
                <w:rFonts w:eastAsia="Times New Roman"/>
                <w:sz w:val="20"/>
                <w:szCs w:val="20"/>
              </w:rPr>
              <w:t xml:space="preserve"> S.A.</w:t>
            </w:r>
          </w:p>
        </w:tc>
        <w:tc>
          <w:tcPr>
            <w:tcW w:w="3080" w:type="dxa"/>
            <w:hideMark/>
          </w:tcPr>
          <w:p w14:paraId="3640107F"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94C38" w:rsidRPr="006F289C" w14:paraId="05198F47" w14:textId="77777777" w:rsidTr="00B97E7E">
        <w:trPr>
          <w:trHeight w:val="422"/>
        </w:trPr>
        <w:tc>
          <w:tcPr>
            <w:tcW w:w="1145" w:type="dxa"/>
            <w:noWrap/>
            <w:hideMark/>
          </w:tcPr>
          <w:p w14:paraId="055514F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C1283BA" w14:textId="77777777" w:rsidR="00294C38" w:rsidRPr="006F289C" w:rsidRDefault="00294C38" w:rsidP="00B97E7E">
            <w:pPr>
              <w:rPr>
                <w:rFonts w:eastAsia="Times New Roman"/>
                <w:sz w:val="20"/>
                <w:szCs w:val="20"/>
              </w:rPr>
            </w:pPr>
            <w:r w:rsidRPr="006F289C">
              <w:rPr>
                <w:rFonts w:eastAsia="Times New Roman"/>
                <w:sz w:val="20"/>
                <w:szCs w:val="20"/>
              </w:rPr>
              <w:t>Mining Minerals Resources SARL</w:t>
            </w:r>
          </w:p>
        </w:tc>
        <w:tc>
          <w:tcPr>
            <w:tcW w:w="3080" w:type="dxa"/>
            <w:hideMark/>
          </w:tcPr>
          <w:p w14:paraId="5D54464B" w14:textId="77777777" w:rsidR="00294C38" w:rsidRPr="006F289C" w:rsidRDefault="00294C38" w:rsidP="00B97E7E">
            <w:pPr>
              <w:rPr>
                <w:rFonts w:eastAsia="Times New Roman"/>
                <w:sz w:val="20"/>
                <w:szCs w:val="20"/>
              </w:rPr>
            </w:pPr>
            <w:r w:rsidRPr="006F289C">
              <w:rPr>
                <w:rFonts w:eastAsia="Times New Roman"/>
                <w:sz w:val="20"/>
                <w:szCs w:val="20"/>
              </w:rPr>
              <w:t>Congo, Democratic Republic Of The</w:t>
            </w:r>
          </w:p>
        </w:tc>
      </w:tr>
      <w:tr w:rsidR="00294C38" w:rsidRPr="006F289C" w14:paraId="51E839D7" w14:textId="77777777" w:rsidTr="00B97E7E">
        <w:trPr>
          <w:trHeight w:val="300"/>
        </w:trPr>
        <w:tc>
          <w:tcPr>
            <w:tcW w:w="1145" w:type="dxa"/>
            <w:noWrap/>
            <w:hideMark/>
          </w:tcPr>
          <w:p w14:paraId="409A5D13"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CF18A46"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Minsur</w:t>
            </w:r>
            <w:proofErr w:type="spellEnd"/>
          </w:p>
        </w:tc>
        <w:tc>
          <w:tcPr>
            <w:tcW w:w="3080" w:type="dxa"/>
            <w:hideMark/>
          </w:tcPr>
          <w:p w14:paraId="5952A09B" w14:textId="77777777" w:rsidR="00294C38" w:rsidRPr="006F289C" w:rsidRDefault="00294C38" w:rsidP="00B97E7E">
            <w:pPr>
              <w:rPr>
                <w:rFonts w:eastAsia="Times New Roman"/>
                <w:sz w:val="20"/>
                <w:szCs w:val="20"/>
              </w:rPr>
            </w:pPr>
            <w:r w:rsidRPr="006F289C">
              <w:rPr>
                <w:rFonts w:eastAsia="Times New Roman"/>
                <w:sz w:val="20"/>
                <w:szCs w:val="20"/>
              </w:rPr>
              <w:t>Peru</w:t>
            </w:r>
          </w:p>
        </w:tc>
      </w:tr>
      <w:tr w:rsidR="00294C38" w:rsidRPr="006F289C" w14:paraId="0B621BC5" w14:textId="77777777" w:rsidTr="00B97E7E">
        <w:trPr>
          <w:trHeight w:val="300"/>
        </w:trPr>
        <w:tc>
          <w:tcPr>
            <w:tcW w:w="1145" w:type="dxa"/>
            <w:noWrap/>
            <w:hideMark/>
          </w:tcPr>
          <w:p w14:paraId="54FFDDA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6E6FC66" w14:textId="77777777" w:rsidR="00294C38" w:rsidRPr="006F289C" w:rsidRDefault="00294C38" w:rsidP="00B97E7E">
            <w:pPr>
              <w:rPr>
                <w:rFonts w:eastAsia="Times New Roman"/>
                <w:sz w:val="20"/>
                <w:szCs w:val="20"/>
              </w:rPr>
            </w:pPr>
            <w:r w:rsidRPr="006F289C">
              <w:rPr>
                <w:rFonts w:eastAsia="Times New Roman"/>
                <w:sz w:val="20"/>
                <w:szCs w:val="20"/>
              </w:rPr>
              <w:t>Mitsubishi Materials Corporation</w:t>
            </w:r>
          </w:p>
        </w:tc>
        <w:tc>
          <w:tcPr>
            <w:tcW w:w="3080" w:type="dxa"/>
            <w:hideMark/>
          </w:tcPr>
          <w:p w14:paraId="166DBFC1" w14:textId="77777777" w:rsidR="00294C38" w:rsidRPr="006F289C" w:rsidRDefault="00294C38" w:rsidP="00B97E7E">
            <w:pPr>
              <w:rPr>
                <w:rFonts w:eastAsia="Times New Roman"/>
                <w:sz w:val="20"/>
                <w:szCs w:val="20"/>
              </w:rPr>
            </w:pPr>
            <w:r w:rsidRPr="006F289C">
              <w:rPr>
                <w:rFonts w:eastAsia="Times New Roman"/>
                <w:sz w:val="20"/>
                <w:szCs w:val="20"/>
              </w:rPr>
              <w:t>Japan</w:t>
            </w:r>
          </w:p>
        </w:tc>
      </w:tr>
      <w:tr w:rsidR="00294C38" w:rsidRPr="006F289C" w14:paraId="53DDD8F5" w14:textId="77777777" w:rsidTr="00B97E7E">
        <w:trPr>
          <w:trHeight w:val="300"/>
        </w:trPr>
        <w:tc>
          <w:tcPr>
            <w:tcW w:w="1145" w:type="dxa"/>
            <w:noWrap/>
            <w:hideMark/>
          </w:tcPr>
          <w:p w14:paraId="4DD00113"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3FC60BB2"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Modeltech</w:t>
            </w:r>
            <w:proofErr w:type="spellEnd"/>
            <w:r w:rsidRPr="006F289C">
              <w:rPr>
                <w:rFonts w:eastAsia="Times New Roman"/>
                <w:sz w:val="20"/>
                <w:szCs w:val="20"/>
              </w:rPr>
              <w:t xml:space="preserve"> </w:t>
            </w:r>
            <w:proofErr w:type="spellStart"/>
            <w:r w:rsidRPr="006F289C">
              <w:rPr>
                <w:rFonts w:eastAsia="Times New Roman"/>
                <w:sz w:val="20"/>
                <w:szCs w:val="20"/>
              </w:rPr>
              <w:t>Sdn</w:t>
            </w:r>
            <w:proofErr w:type="spellEnd"/>
            <w:r w:rsidRPr="006F289C">
              <w:rPr>
                <w:rFonts w:eastAsia="Times New Roman"/>
                <w:sz w:val="20"/>
                <w:szCs w:val="20"/>
              </w:rPr>
              <w:t xml:space="preserve"> </w:t>
            </w:r>
            <w:proofErr w:type="spellStart"/>
            <w:r w:rsidRPr="006F289C">
              <w:rPr>
                <w:rFonts w:eastAsia="Times New Roman"/>
                <w:sz w:val="20"/>
                <w:szCs w:val="20"/>
              </w:rPr>
              <w:t>Bhd</w:t>
            </w:r>
            <w:proofErr w:type="spellEnd"/>
          </w:p>
        </w:tc>
        <w:tc>
          <w:tcPr>
            <w:tcW w:w="3080" w:type="dxa"/>
            <w:hideMark/>
          </w:tcPr>
          <w:p w14:paraId="2BBB84AE" w14:textId="77777777" w:rsidR="00294C38" w:rsidRPr="006F289C" w:rsidRDefault="00294C38" w:rsidP="00B97E7E">
            <w:pPr>
              <w:rPr>
                <w:rFonts w:eastAsia="Times New Roman"/>
                <w:sz w:val="20"/>
                <w:szCs w:val="20"/>
              </w:rPr>
            </w:pPr>
            <w:r w:rsidRPr="006F289C">
              <w:rPr>
                <w:rFonts w:eastAsia="Times New Roman"/>
                <w:sz w:val="20"/>
                <w:szCs w:val="20"/>
              </w:rPr>
              <w:t>Malaysia</w:t>
            </w:r>
          </w:p>
        </w:tc>
      </w:tr>
      <w:tr w:rsidR="00294C38" w:rsidRPr="006F289C" w14:paraId="724A74F5" w14:textId="77777777" w:rsidTr="00B97E7E">
        <w:trPr>
          <w:trHeight w:val="300"/>
        </w:trPr>
        <w:tc>
          <w:tcPr>
            <w:tcW w:w="1145" w:type="dxa"/>
            <w:noWrap/>
            <w:hideMark/>
          </w:tcPr>
          <w:p w14:paraId="00D90F5E"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22F2CE4" w14:textId="77777777" w:rsidR="00294C38" w:rsidRPr="006F289C" w:rsidRDefault="00294C38" w:rsidP="00B97E7E">
            <w:pPr>
              <w:rPr>
                <w:rFonts w:eastAsia="Times New Roman"/>
                <w:sz w:val="20"/>
                <w:szCs w:val="20"/>
              </w:rPr>
            </w:pPr>
            <w:r w:rsidRPr="006F289C">
              <w:rPr>
                <w:rFonts w:eastAsia="Times New Roman"/>
                <w:sz w:val="20"/>
                <w:szCs w:val="20"/>
              </w:rPr>
              <w:t>Nghe Tinh Non-Ferrous Metals Joint Stock Company</w:t>
            </w:r>
          </w:p>
        </w:tc>
        <w:tc>
          <w:tcPr>
            <w:tcW w:w="3080" w:type="dxa"/>
            <w:hideMark/>
          </w:tcPr>
          <w:p w14:paraId="06D9F2F6" w14:textId="77777777" w:rsidR="00294C38" w:rsidRPr="006F289C" w:rsidRDefault="00294C38" w:rsidP="00B97E7E">
            <w:pPr>
              <w:rPr>
                <w:rFonts w:eastAsia="Times New Roman"/>
                <w:sz w:val="20"/>
                <w:szCs w:val="20"/>
              </w:rPr>
            </w:pPr>
            <w:r w:rsidRPr="006F289C">
              <w:rPr>
                <w:rFonts w:eastAsia="Times New Roman"/>
                <w:sz w:val="20"/>
                <w:szCs w:val="20"/>
              </w:rPr>
              <w:t>Viet Nam</w:t>
            </w:r>
          </w:p>
        </w:tc>
      </w:tr>
      <w:tr w:rsidR="00294C38" w:rsidRPr="006F289C" w14:paraId="1C60AB86" w14:textId="77777777" w:rsidTr="00B97E7E">
        <w:trPr>
          <w:trHeight w:val="422"/>
        </w:trPr>
        <w:tc>
          <w:tcPr>
            <w:tcW w:w="1145" w:type="dxa"/>
            <w:noWrap/>
            <w:hideMark/>
          </w:tcPr>
          <w:p w14:paraId="2D75DC4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D910017" w14:textId="77777777" w:rsidR="00294C38" w:rsidRPr="006F289C" w:rsidRDefault="00294C38" w:rsidP="00B97E7E">
            <w:pPr>
              <w:rPr>
                <w:rFonts w:eastAsia="Times New Roman"/>
                <w:sz w:val="20"/>
                <w:szCs w:val="20"/>
              </w:rPr>
            </w:pPr>
            <w:r w:rsidRPr="006F289C">
              <w:rPr>
                <w:rFonts w:eastAsia="Times New Roman"/>
                <w:sz w:val="20"/>
                <w:szCs w:val="20"/>
              </w:rPr>
              <w:t>Novosibirsk Tin Combine</w:t>
            </w:r>
          </w:p>
        </w:tc>
        <w:tc>
          <w:tcPr>
            <w:tcW w:w="3080" w:type="dxa"/>
            <w:hideMark/>
          </w:tcPr>
          <w:p w14:paraId="5EBD39D6" w14:textId="77777777" w:rsidR="00294C38" w:rsidRPr="006F289C" w:rsidRDefault="00294C38" w:rsidP="00B97E7E">
            <w:pPr>
              <w:rPr>
                <w:rFonts w:eastAsia="Times New Roman"/>
                <w:sz w:val="20"/>
                <w:szCs w:val="20"/>
              </w:rPr>
            </w:pPr>
            <w:r w:rsidRPr="006F289C">
              <w:rPr>
                <w:rFonts w:eastAsia="Times New Roman"/>
                <w:sz w:val="20"/>
                <w:szCs w:val="20"/>
              </w:rPr>
              <w:t>Russian Federation</w:t>
            </w:r>
          </w:p>
        </w:tc>
      </w:tr>
      <w:tr w:rsidR="00294C38" w:rsidRPr="006F289C" w14:paraId="48AE2F37" w14:textId="77777777" w:rsidTr="00B97E7E">
        <w:trPr>
          <w:trHeight w:val="300"/>
        </w:trPr>
        <w:tc>
          <w:tcPr>
            <w:tcW w:w="1145" w:type="dxa"/>
            <w:noWrap/>
            <w:hideMark/>
          </w:tcPr>
          <w:p w14:paraId="43A0F2E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09406E7" w14:textId="77777777" w:rsidR="00294C38" w:rsidRPr="006F289C" w:rsidRDefault="00294C38" w:rsidP="00B97E7E">
            <w:pPr>
              <w:rPr>
                <w:rFonts w:eastAsia="Times New Roman"/>
                <w:sz w:val="20"/>
                <w:szCs w:val="20"/>
              </w:rPr>
            </w:pPr>
            <w:r w:rsidRPr="006F289C">
              <w:rPr>
                <w:rFonts w:eastAsia="Times New Roman"/>
                <w:sz w:val="20"/>
                <w:szCs w:val="20"/>
              </w:rPr>
              <w:t>O.M. Manufacturing (Thailand) Co., Ltd.</w:t>
            </w:r>
          </w:p>
        </w:tc>
        <w:tc>
          <w:tcPr>
            <w:tcW w:w="3080" w:type="dxa"/>
            <w:hideMark/>
          </w:tcPr>
          <w:p w14:paraId="19D9841E" w14:textId="77777777" w:rsidR="00294C38" w:rsidRPr="006F289C" w:rsidRDefault="00294C38" w:rsidP="00B97E7E">
            <w:pPr>
              <w:rPr>
                <w:rFonts w:eastAsia="Times New Roman"/>
                <w:sz w:val="20"/>
                <w:szCs w:val="20"/>
              </w:rPr>
            </w:pPr>
            <w:r w:rsidRPr="006F289C">
              <w:rPr>
                <w:rFonts w:eastAsia="Times New Roman"/>
                <w:sz w:val="20"/>
                <w:szCs w:val="20"/>
              </w:rPr>
              <w:t>Thailand</w:t>
            </w:r>
          </w:p>
        </w:tc>
      </w:tr>
      <w:tr w:rsidR="00294C38" w:rsidRPr="006F289C" w14:paraId="1215889E" w14:textId="77777777" w:rsidTr="00B97E7E">
        <w:trPr>
          <w:trHeight w:val="300"/>
        </w:trPr>
        <w:tc>
          <w:tcPr>
            <w:tcW w:w="1145" w:type="dxa"/>
            <w:noWrap/>
            <w:hideMark/>
          </w:tcPr>
          <w:p w14:paraId="5D563349"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EFA5D59" w14:textId="77777777" w:rsidR="00294C38" w:rsidRPr="006F289C" w:rsidRDefault="00294C38" w:rsidP="00B97E7E">
            <w:pPr>
              <w:rPr>
                <w:rFonts w:eastAsia="Times New Roman"/>
                <w:sz w:val="20"/>
                <w:szCs w:val="20"/>
              </w:rPr>
            </w:pPr>
            <w:r w:rsidRPr="006F289C">
              <w:rPr>
                <w:rFonts w:eastAsia="Times New Roman"/>
                <w:sz w:val="20"/>
                <w:szCs w:val="20"/>
              </w:rPr>
              <w:t>O.M. Manufacturing Philippines, Inc.</w:t>
            </w:r>
          </w:p>
        </w:tc>
        <w:tc>
          <w:tcPr>
            <w:tcW w:w="3080" w:type="dxa"/>
            <w:hideMark/>
          </w:tcPr>
          <w:p w14:paraId="75DBF366" w14:textId="77777777" w:rsidR="00294C38" w:rsidRPr="006F289C" w:rsidRDefault="00294C38" w:rsidP="00B97E7E">
            <w:pPr>
              <w:rPr>
                <w:rFonts w:eastAsia="Times New Roman"/>
                <w:sz w:val="20"/>
                <w:szCs w:val="20"/>
              </w:rPr>
            </w:pPr>
            <w:r w:rsidRPr="006F289C">
              <w:rPr>
                <w:rFonts w:eastAsia="Times New Roman"/>
                <w:sz w:val="20"/>
                <w:szCs w:val="20"/>
              </w:rPr>
              <w:t>Philippines</w:t>
            </w:r>
          </w:p>
        </w:tc>
      </w:tr>
      <w:tr w:rsidR="00294C38" w:rsidRPr="006F289C" w14:paraId="49702338" w14:textId="77777777" w:rsidTr="00B97E7E">
        <w:trPr>
          <w:trHeight w:val="300"/>
        </w:trPr>
        <w:tc>
          <w:tcPr>
            <w:tcW w:w="1145" w:type="dxa"/>
            <w:noWrap/>
            <w:hideMark/>
          </w:tcPr>
          <w:p w14:paraId="5F26D2EA"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F7639B7"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Operaciones</w:t>
            </w:r>
            <w:proofErr w:type="spellEnd"/>
            <w:r w:rsidRPr="006F289C">
              <w:rPr>
                <w:rFonts w:eastAsia="Times New Roman"/>
                <w:sz w:val="20"/>
                <w:szCs w:val="20"/>
              </w:rPr>
              <w:t xml:space="preserve"> </w:t>
            </w:r>
            <w:proofErr w:type="spellStart"/>
            <w:r w:rsidRPr="006F289C">
              <w:rPr>
                <w:rFonts w:eastAsia="Times New Roman"/>
                <w:sz w:val="20"/>
                <w:szCs w:val="20"/>
              </w:rPr>
              <w:t>Metalurgicas</w:t>
            </w:r>
            <w:proofErr w:type="spellEnd"/>
            <w:r w:rsidRPr="006F289C">
              <w:rPr>
                <w:rFonts w:eastAsia="Times New Roman"/>
                <w:sz w:val="20"/>
                <w:szCs w:val="20"/>
              </w:rPr>
              <w:t xml:space="preserve"> S.A.</w:t>
            </w:r>
          </w:p>
        </w:tc>
        <w:tc>
          <w:tcPr>
            <w:tcW w:w="3080" w:type="dxa"/>
            <w:hideMark/>
          </w:tcPr>
          <w:p w14:paraId="2591121A" w14:textId="77777777" w:rsidR="00294C38" w:rsidRPr="006F289C" w:rsidRDefault="00294C38" w:rsidP="00B97E7E">
            <w:pPr>
              <w:rPr>
                <w:rFonts w:eastAsia="Times New Roman"/>
                <w:sz w:val="20"/>
                <w:szCs w:val="20"/>
              </w:rPr>
            </w:pPr>
            <w:r w:rsidRPr="006F289C">
              <w:rPr>
                <w:rFonts w:eastAsia="Times New Roman"/>
                <w:sz w:val="20"/>
                <w:szCs w:val="20"/>
              </w:rPr>
              <w:t>Bolivia (Plurinational State Of)</w:t>
            </w:r>
          </w:p>
        </w:tc>
      </w:tr>
      <w:tr w:rsidR="00294C38" w:rsidRPr="006F289C" w14:paraId="1CF374B0" w14:textId="77777777" w:rsidTr="00B97E7E">
        <w:trPr>
          <w:trHeight w:val="300"/>
        </w:trPr>
        <w:tc>
          <w:tcPr>
            <w:tcW w:w="1145" w:type="dxa"/>
            <w:noWrap/>
            <w:hideMark/>
          </w:tcPr>
          <w:p w14:paraId="6C190F01"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861821E" w14:textId="77777777" w:rsidR="00294C38" w:rsidRPr="006F289C" w:rsidRDefault="00294C38" w:rsidP="00B97E7E">
            <w:pPr>
              <w:rPr>
                <w:rFonts w:eastAsia="Times New Roman"/>
                <w:sz w:val="20"/>
                <w:szCs w:val="20"/>
              </w:rPr>
            </w:pPr>
            <w:r w:rsidRPr="006F289C">
              <w:rPr>
                <w:rFonts w:eastAsia="Times New Roman"/>
                <w:sz w:val="20"/>
                <w:szCs w:val="20"/>
              </w:rPr>
              <w:t>Precious Minerals and Smelting Limited</w:t>
            </w:r>
          </w:p>
        </w:tc>
        <w:tc>
          <w:tcPr>
            <w:tcW w:w="3080" w:type="dxa"/>
            <w:hideMark/>
          </w:tcPr>
          <w:p w14:paraId="6FC969F9" w14:textId="77777777" w:rsidR="00294C38" w:rsidRPr="006F289C" w:rsidRDefault="00294C38" w:rsidP="00B97E7E">
            <w:pPr>
              <w:rPr>
                <w:rFonts w:eastAsia="Times New Roman"/>
                <w:sz w:val="20"/>
                <w:szCs w:val="20"/>
              </w:rPr>
            </w:pPr>
            <w:r w:rsidRPr="006F289C">
              <w:rPr>
                <w:rFonts w:eastAsia="Times New Roman"/>
                <w:sz w:val="20"/>
                <w:szCs w:val="20"/>
              </w:rPr>
              <w:t>India</w:t>
            </w:r>
          </w:p>
        </w:tc>
      </w:tr>
      <w:tr w:rsidR="00294C38" w:rsidRPr="006F289C" w14:paraId="497C0D47" w14:textId="77777777" w:rsidTr="00EF02A5">
        <w:trPr>
          <w:trHeight w:val="300"/>
        </w:trPr>
        <w:tc>
          <w:tcPr>
            <w:tcW w:w="1145" w:type="dxa"/>
            <w:noWrap/>
          </w:tcPr>
          <w:p w14:paraId="42D047E6" w14:textId="7D482306" w:rsidR="00294C38" w:rsidRPr="006F289C" w:rsidRDefault="00EF02A5" w:rsidP="00B97E7E">
            <w:pPr>
              <w:rPr>
                <w:rFonts w:eastAsia="Times New Roman"/>
                <w:color w:val="343A40"/>
                <w:sz w:val="20"/>
                <w:szCs w:val="20"/>
              </w:rPr>
            </w:pPr>
            <w:r>
              <w:rPr>
                <w:rFonts w:eastAsia="Times New Roman"/>
                <w:color w:val="343A40"/>
                <w:sz w:val="20"/>
                <w:szCs w:val="20"/>
              </w:rPr>
              <w:t>Tin</w:t>
            </w:r>
          </w:p>
        </w:tc>
        <w:tc>
          <w:tcPr>
            <w:tcW w:w="4837" w:type="dxa"/>
          </w:tcPr>
          <w:p w14:paraId="4B6312BA" w14:textId="1302B76E" w:rsidR="00294C38" w:rsidRPr="006F289C" w:rsidRDefault="00EF02A5" w:rsidP="00B97E7E">
            <w:pPr>
              <w:rPr>
                <w:rFonts w:eastAsia="Times New Roman"/>
                <w:sz w:val="20"/>
                <w:szCs w:val="20"/>
              </w:rPr>
            </w:pPr>
            <w:r>
              <w:rPr>
                <w:rFonts w:eastAsia="Times New Roman"/>
                <w:sz w:val="20"/>
                <w:szCs w:val="20"/>
              </w:rPr>
              <w:t xml:space="preserve">PT </w:t>
            </w:r>
            <w:proofErr w:type="spellStart"/>
            <w:r>
              <w:rPr>
                <w:rFonts w:eastAsia="Times New Roman"/>
                <w:sz w:val="20"/>
                <w:szCs w:val="20"/>
              </w:rPr>
              <w:t>Arsed</w:t>
            </w:r>
            <w:proofErr w:type="spellEnd"/>
            <w:r>
              <w:rPr>
                <w:rFonts w:eastAsia="Times New Roman"/>
                <w:sz w:val="20"/>
                <w:szCs w:val="20"/>
              </w:rPr>
              <w:t xml:space="preserve"> Indonesia</w:t>
            </w:r>
          </w:p>
        </w:tc>
        <w:tc>
          <w:tcPr>
            <w:tcW w:w="3080" w:type="dxa"/>
          </w:tcPr>
          <w:p w14:paraId="32D2510C" w14:textId="201BE194" w:rsidR="00294C38" w:rsidRPr="006F289C" w:rsidRDefault="00EF02A5" w:rsidP="00B97E7E">
            <w:pPr>
              <w:rPr>
                <w:rFonts w:eastAsia="Times New Roman"/>
                <w:sz w:val="20"/>
                <w:szCs w:val="20"/>
              </w:rPr>
            </w:pPr>
            <w:r>
              <w:rPr>
                <w:rFonts w:eastAsia="Times New Roman"/>
                <w:sz w:val="20"/>
                <w:szCs w:val="20"/>
              </w:rPr>
              <w:t>Indonesia</w:t>
            </w:r>
          </w:p>
        </w:tc>
      </w:tr>
      <w:tr w:rsidR="00294C38" w:rsidRPr="006F289C" w14:paraId="30F6CCD7" w14:textId="77777777" w:rsidTr="00B97E7E">
        <w:trPr>
          <w:trHeight w:val="300"/>
        </w:trPr>
        <w:tc>
          <w:tcPr>
            <w:tcW w:w="1145" w:type="dxa"/>
            <w:noWrap/>
            <w:hideMark/>
          </w:tcPr>
          <w:p w14:paraId="2B71697C"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38E875EA" w14:textId="77777777" w:rsidR="00294C38" w:rsidRPr="006F289C" w:rsidRDefault="00294C38" w:rsidP="00B97E7E">
            <w:pPr>
              <w:rPr>
                <w:rFonts w:eastAsia="Times New Roman"/>
                <w:sz w:val="20"/>
                <w:szCs w:val="20"/>
              </w:rPr>
            </w:pPr>
            <w:r w:rsidRPr="006F289C">
              <w:rPr>
                <w:rFonts w:eastAsia="Times New Roman"/>
                <w:sz w:val="20"/>
                <w:szCs w:val="20"/>
              </w:rPr>
              <w:t xml:space="preserve">PT ATD Makmur </w:t>
            </w:r>
            <w:proofErr w:type="spellStart"/>
            <w:r w:rsidRPr="006F289C">
              <w:rPr>
                <w:rFonts w:eastAsia="Times New Roman"/>
                <w:sz w:val="20"/>
                <w:szCs w:val="20"/>
              </w:rPr>
              <w:t>Mandiri</w:t>
            </w:r>
            <w:proofErr w:type="spellEnd"/>
            <w:r w:rsidRPr="006F289C">
              <w:rPr>
                <w:rFonts w:eastAsia="Times New Roman"/>
                <w:sz w:val="20"/>
                <w:szCs w:val="20"/>
              </w:rPr>
              <w:t xml:space="preserve"> Jaya</w:t>
            </w:r>
          </w:p>
        </w:tc>
        <w:tc>
          <w:tcPr>
            <w:tcW w:w="3080" w:type="dxa"/>
            <w:hideMark/>
          </w:tcPr>
          <w:p w14:paraId="490070DE"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6BE49061" w14:textId="77777777" w:rsidTr="00B97E7E">
        <w:trPr>
          <w:trHeight w:val="300"/>
        </w:trPr>
        <w:tc>
          <w:tcPr>
            <w:tcW w:w="1145" w:type="dxa"/>
            <w:noWrap/>
            <w:hideMark/>
          </w:tcPr>
          <w:p w14:paraId="1E76CD41"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EACFCF8" w14:textId="77777777" w:rsidR="00294C38" w:rsidRPr="006F289C" w:rsidRDefault="00294C38" w:rsidP="00B97E7E">
            <w:pPr>
              <w:rPr>
                <w:rFonts w:eastAsia="Times New Roman"/>
                <w:sz w:val="20"/>
                <w:szCs w:val="20"/>
              </w:rPr>
            </w:pPr>
            <w:r w:rsidRPr="006F289C">
              <w:rPr>
                <w:rFonts w:eastAsia="Times New Roman"/>
                <w:sz w:val="20"/>
                <w:szCs w:val="20"/>
              </w:rPr>
              <w:t>PT Bangka Prima Tin</w:t>
            </w:r>
          </w:p>
        </w:tc>
        <w:tc>
          <w:tcPr>
            <w:tcW w:w="3080" w:type="dxa"/>
            <w:hideMark/>
          </w:tcPr>
          <w:p w14:paraId="5D71A570"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31E35CD2" w14:textId="77777777" w:rsidTr="00B97E7E">
        <w:trPr>
          <w:trHeight w:val="300"/>
        </w:trPr>
        <w:tc>
          <w:tcPr>
            <w:tcW w:w="1145" w:type="dxa"/>
            <w:noWrap/>
            <w:hideMark/>
          </w:tcPr>
          <w:p w14:paraId="6BF7CEDD"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CC7E368" w14:textId="77777777" w:rsidR="00294C38" w:rsidRPr="006F289C" w:rsidRDefault="00294C38" w:rsidP="00B97E7E">
            <w:pPr>
              <w:rPr>
                <w:rFonts w:eastAsia="Times New Roman"/>
                <w:sz w:val="20"/>
                <w:szCs w:val="20"/>
              </w:rPr>
            </w:pPr>
            <w:r w:rsidRPr="006F289C">
              <w:rPr>
                <w:rFonts w:eastAsia="Times New Roman"/>
                <w:sz w:val="20"/>
                <w:szCs w:val="20"/>
              </w:rPr>
              <w:t xml:space="preserve">PT Cipta </w:t>
            </w:r>
            <w:proofErr w:type="spellStart"/>
            <w:r w:rsidRPr="006F289C">
              <w:rPr>
                <w:rFonts w:eastAsia="Times New Roman"/>
                <w:sz w:val="20"/>
                <w:szCs w:val="20"/>
              </w:rPr>
              <w:t>Persada</w:t>
            </w:r>
            <w:proofErr w:type="spellEnd"/>
            <w:r w:rsidRPr="006F289C">
              <w:rPr>
                <w:rFonts w:eastAsia="Times New Roman"/>
                <w:sz w:val="20"/>
                <w:szCs w:val="20"/>
              </w:rPr>
              <w:t xml:space="preserve"> Mulia</w:t>
            </w:r>
          </w:p>
        </w:tc>
        <w:tc>
          <w:tcPr>
            <w:tcW w:w="3080" w:type="dxa"/>
            <w:hideMark/>
          </w:tcPr>
          <w:p w14:paraId="3B6BCEA5"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3711C042" w14:textId="77777777" w:rsidTr="00B97E7E">
        <w:trPr>
          <w:trHeight w:val="300"/>
        </w:trPr>
        <w:tc>
          <w:tcPr>
            <w:tcW w:w="1145" w:type="dxa"/>
            <w:noWrap/>
            <w:hideMark/>
          </w:tcPr>
          <w:p w14:paraId="4F688C59"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8DD020D" w14:textId="77777777" w:rsidR="00294C38" w:rsidRPr="006F289C" w:rsidRDefault="00294C38" w:rsidP="00B97E7E">
            <w:pPr>
              <w:rPr>
                <w:rFonts w:eastAsia="Times New Roman"/>
                <w:sz w:val="20"/>
                <w:szCs w:val="20"/>
              </w:rPr>
            </w:pPr>
            <w:r w:rsidRPr="006F289C">
              <w:rPr>
                <w:rFonts w:eastAsia="Times New Roman"/>
                <w:sz w:val="20"/>
                <w:szCs w:val="20"/>
              </w:rPr>
              <w:t>PT Mitra Stania Prima</w:t>
            </w:r>
          </w:p>
        </w:tc>
        <w:tc>
          <w:tcPr>
            <w:tcW w:w="3080" w:type="dxa"/>
            <w:hideMark/>
          </w:tcPr>
          <w:p w14:paraId="51A4B71D"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14D87B10" w14:textId="77777777" w:rsidTr="00B97E7E">
        <w:trPr>
          <w:trHeight w:val="300"/>
        </w:trPr>
        <w:tc>
          <w:tcPr>
            <w:tcW w:w="1145" w:type="dxa"/>
            <w:noWrap/>
            <w:hideMark/>
          </w:tcPr>
          <w:p w14:paraId="3F096CF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7A5C9B2" w14:textId="77777777" w:rsidR="00294C38" w:rsidRPr="006F289C" w:rsidRDefault="00294C38" w:rsidP="00B97E7E">
            <w:pPr>
              <w:rPr>
                <w:rFonts w:eastAsia="Times New Roman"/>
                <w:sz w:val="20"/>
                <w:szCs w:val="20"/>
              </w:rPr>
            </w:pPr>
            <w:r w:rsidRPr="006F289C">
              <w:rPr>
                <w:rFonts w:eastAsia="Times New Roman"/>
                <w:sz w:val="20"/>
                <w:szCs w:val="20"/>
              </w:rPr>
              <w:t xml:space="preserve">PT Mitra </w:t>
            </w:r>
            <w:proofErr w:type="spellStart"/>
            <w:r w:rsidRPr="006F289C">
              <w:rPr>
                <w:rFonts w:eastAsia="Times New Roman"/>
                <w:sz w:val="20"/>
                <w:szCs w:val="20"/>
              </w:rPr>
              <w:t>Sukses</w:t>
            </w:r>
            <w:proofErr w:type="spellEnd"/>
            <w:r w:rsidRPr="006F289C">
              <w:rPr>
                <w:rFonts w:eastAsia="Times New Roman"/>
                <w:sz w:val="20"/>
                <w:szCs w:val="20"/>
              </w:rPr>
              <w:t xml:space="preserve"> </w:t>
            </w:r>
            <w:proofErr w:type="spellStart"/>
            <w:r w:rsidRPr="006F289C">
              <w:rPr>
                <w:rFonts w:eastAsia="Times New Roman"/>
                <w:sz w:val="20"/>
                <w:szCs w:val="20"/>
              </w:rPr>
              <w:t>Globalindo</w:t>
            </w:r>
            <w:proofErr w:type="spellEnd"/>
          </w:p>
        </w:tc>
        <w:tc>
          <w:tcPr>
            <w:tcW w:w="3080" w:type="dxa"/>
            <w:hideMark/>
          </w:tcPr>
          <w:p w14:paraId="5E379192"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5C4402DA" w14:textId="77777777" w:rsidTr="00B97E7E">
        <w:trPr>
          <w:trHeight w:val="300"/>
        </w:trPr>
        <w:tc>
          <w:tcPr>
            <w:tcW w:w="1145" w:type="dxa"/>
            <w:noWrap/>
            <w:hideMark/>
          </w:tcPr>
          <w:p w14:paraId="4FF5D34D"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4B81D8C" w14:textId="77777777" w:rsidR="00294C38" w:rsidRPr="006F289C" w:rsidRDefault="00294C38" w:rsidP="00B97E7E">
            <w:pPr>
              <w:rPr>
                <w:rFonts w:eastAsia="Times New Roman"/>
                <w:sz w:val="20"/>
                <w:szCs w:val="20"/>
              </w:rPr>
            </w:pPr>
            <w:r w:rsidRPr="006F289C">
              <w:rPr>
                <w:rFonts w:eastAsia="Times New Roman"/>
                <w:sz w:val="20"/>
                <w:szCs w:val="20"/>
              </w:rPr>
              <w:t>PT Premium Tin Indonesia</w:t>
            </w:r>
          </w:p>
        </w:tc>
        <w:tc>
          <w:tcPr>
            <w:tcW w:w="3080" w:type="dxa"/>
            <w:hideMark/>
          </w:tcPr>
          <w:p w14:paraId="46523EE7"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5AE8BD2C" w14:textId="77777777" w:rsidTr="00B97E7E">
        <w:trPr>
          <w:trHeight w:val="300"/>
        </w:trPr>
        <w:tc>
          <w:tcPr>
            <w:tcW w:w="1145" w:type="dxa"/>
            <w:noWrap/>
            <w:hideMark/>
          </w:tcPr>
          <w:p w14:paraId="382E445B"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20124C2" w14:textId="77777777" w:rsidR="00294C38" w:rsidRPr="006F289C" w:rsidRDefault="00294C38" w:rsidP="00B97E7E">
            <w:pPr>
              <w:rPr>
                <w:rFonts w:eastAsia="Times New Roman"/>
                <w:sz w:val="20"/>
                <w:szCs w:val="20"/>
              </w:rPr>
            </w:pPr>
            <w:r w:rsidRPr="006F289C">
              <w:rPr>
                <w:rFonts w:eastAsia="Times New Roman"/>
                <w:sz w:val="20"/>
                <w:szCs w:val="20"/>
              </w:rPr>
              <w:t>PT Prima Timah Utama</w:t>
            </w:r>
          </w:p>
        </w:tc>
        <w:tc>
          <w:tcPr>
            <w:tcW w:w="3080" w:type="dxa"/>
            <w:hideMark/>
          </w:tcPr>
          <w:p w14:paraId="60EC0E2D"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020815B0" w14:textId="77777777" w:rsidTr="00B97E7E">
        <w:trPr>
          <w:trHeight w:val="300"/>
        </w:trPr>
        <w:tc>
          <w:tcPr>
            <w:tcW w:w="1145" w:type="dxa"/>
            <w:noWrap/>
            <w:hideMark/>
          </w:tcPr>
          <w:p w14:paraId="2DAE1F3F"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0BF17AB3" w14:textId="77777777" w:rsidR="00294C38" w:rsidRPr="006F289C" w:rsidRDefault="00294C38" w:rsidP="00B97E7E">
            <w:pPr>
              <w:rPr>
                <w:rFonts w:eastAsia="Times New Roman"/>
                <w:sz w:val="20"/>
                <w:szCs w:val="20"/>
              </w:rPr>
            </w:pPr>
            <w:r w:rsidRPr="006F289C">
              <w:rPr>
                <w:rFonts w:eastAsia="Times New Roman"/>
                <w:sz w:val="20"/>
                <w:szCs w:val="20"/>
              </w:rPr>
              <w:t>PT Putera Sarana Shakti (PT PSS)</w:t>
            </w:r>
          </w:p>
        </w:tc>
        <w:tc>
          <w:tcPr>
            <w:tcW w:w="3080" w:type="dxa"/>
            <w:hideMark/>
          </w:tcPr>
          <w:p w14:paraId="49FCCB17"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355C02D7" w14:textId="77777777" w:rsidTr="00B97E7E">
        <w:trPr>
          <w:trHeight w:val="300"/>
        </w:trPr>
        <w:tc>
          <w:tcPr>
            <w:tcW w:w="1145" w:type="dxa"/>
            <w:noWrap/>
            <w:hideMark/>
          </w:tcPr>
          <w:p w14:paraId="3D97DBE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05DBB623" w14:textId="77777777" w:rsidR="00294C38" w:rsidRPr="006F289C" w:rsidRDefault="00294C38" w:rsidP="00B97E7E">
            <w:pPr>
              <w:rPr>
                <w:rFonts w:eastAsia="Times New Roman"/>
                <w:sz w:val="20"/>
                <w:szCs w:val="20"/>
              </w:rPr>
            </w:pPr>
            <w:r w:rsidRPr="006F289C">
              <w:rPr>
                <w:rFonts w:eastAsia="Times New Roman"/>
                <w:sz w:val="20"/>
                <w:szCs w:val="20"/>
              </w:rPr>
              <w:t xml:space="preserve">PT </w:t>
            </w:r>
            <w:proofErr w:type="spellStart"/>
            <w:r w:rsidRPr="006F289C">
              <w:rPr>
                <w:rFonts w:eastAsia="Times New Roman"/>
                <w:sz w:val="20"/>
                <w:szCs w:val="20"/>
              </w:rPr>
              <w:t>Rajehan</w:t>
            </w:r>
            <w:proofErr w:type="spellEnd"/>
            <w:r w:rsidRPr="006F289C">
              <w:rPr>
                <w:rFonts w:eastAsia="Times New Roman"/>
                <w:sz w:val="20"/>
                <w:szCs w:val="20"/>
              </w:rPr>
              <w:t xml:space="preserve"> Ariq</w:t>
            </w:r>
          </w:p>
        </w:tc>
        <w:tc>
          <w:tcPr>
            <w:tcW w:w="3080" w:type="dxa"/>
            <w:hideMark/>
          </w:tcPr>
          <w:p w14:paraId="58E71D4D"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2DFC2EE2" w14:textId="77777777" w:rsidTr="00B97E7E">
        <w:trPr>
          <w:trHeight w:val="300"/>
        </w:trPr>
        <w:tc>
          <w:tcPr>
            <w:tcW w:w="1145" w:type="dxa"/>
            <w:noWrap/>
            <w:hideMark/>
          </w:tcPr>
          <w:p w14:paraId="735F06AC"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F8FE87A" w14:textId="77777777" w:rsidR="00294C38" w:rsidRPr="006F289C" w:rsidRDefault="00294C38" w:rsidP="00B97E7E">
            <w:pPr>
              <w:rPr>
                <w:rFonts w:eastAsia="Times New Roman"/>
                <w:sz w:val="20"/>
                <w:szCs w:val="20"/>
              </w:rPr>
            </w:pPr>
            <w:r w:rsidRPr="006F289C">
              <w:rPr>
                <w:rFonts w:eastAsia="Times New Roman"/>
                <w:sz w:val="20"/>
                <w:szCs w:val="20"/>
              </w:rPr>
              <w:t xml:space="preserve">PT Timah </w:t>
            </w:r>
            <w:proofErr w:type="spellStart"/>
            <w:r w:rsidRPr="006F289C">
              <w:rPr>
                <w:rFonts w:eastAsia="Times New Roman"/>
                <w:sz w:val="20"/>
                <w:szCs w:val="20"/>
              </w:rPr>
              <w:t>Tbk</w:t>
            </w:r>
            <w:proofErr w:type="spellEnd"/>
            <w:r w:rsidRPr="006F289C">
              <w:rPr>
                <w:rFonts w:eastAsia="Times New Roman"/>
                <w:sz w:val="20"/>
                <w:szCs w:val="20"/>
              </w:rPr>
              <w:t xml:space="preserve"> </w:t>
            </w:r>
            <w:proofErr w:type="spellStart"/>
            <w:r w:rsidRPr="006F289C">
              <w:rPr>
                <w:rFonts w:eastAsia="Times New Roman"/>
                <w:sz w:val="20"/>
                <w:szCs w:val="20"/>
              </w:rPr>
              <w:t>Kundur</w:t>
            </w:r>
            <w:proofErr w:type="spellEnd"/>
          </w:p>
        </w:tc>
        <w:tc>
          <w:tcPr>
            <w:tcW w:w="3080" w:type="dxa"/>
            <w:hideMark/>
          </w:tcPr>
          <w:p w14:paraId="6ED64AB0"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3F8334AA" w14:textId="77777777" w:rsidTr="00B97E7E">
        <w:trPr>
          <w:trHeight w:val="300"/>
        </w:trPr>
        <w:tc>
          <w:tcPr>
            <w:tcW w:w="1145" w:type="dxa"/>
            <w:noWrap/>
            <w:hideMark/>
          </w:tcPr>
          <w:p w14:paraId="3E9F7223"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05EA80FC" w14:textId="77777777" w:rsidR="00294C38" w:rsidRPr="006F289C" w:rsidRDefault="00294C38" w:rsidP="00B97E7E">
            <w:pPr>
              <w:rPr>
                <w:rFonts w:eastAsia="Times New Roman"/>
                <w:sz w:val="20"/>
                <w:szCs w:val="20"/>
              </w:rPr>
            </w:pPr>
            <w:r w:rsidRPr="006F289C">
              <w:rPr>
                <w:rFonts w:eastAsia="Times New Roman"/>
                <w:sz w:val="20"/>
                <w:szCs w:val="20"/>
              </w:rPr>
              <w:t xml:space="preserve">PT Timah </w:t>
            </w:r>
            <w:proofErr w:type="spellStart"/>
            <w:r w:rsidRPr="006F289C">
              <w:rPr>
                <w:rFonts w:eastAsia="Times New Roman"/>
                <w:sz w:val="20"/>
                <w:szCs w:val="20"/>
              </w:rPr>
              <w:t>Tbk</w:t>
            </w:r>
            <w:proofErr w:type="spellEnd"/>
            <w:r w:rsidRPr="006F289C">
              <w:rPr>
                <w:rFonts w:eastAsia="Times New Roman"/>
                <w:sz w:val="20"/>
                <w:szCs w:val="20"/>
              </w:rPr>
              <w:t xml:space="preserve"> </w:t>
            </w:r>
            <w:proofErr w:type="spellStart"/>
            <w:r w:rsidRPr="006F289C">
              <w:rPr>
                <w:rFonts w:eastAsia="Times New Roman"/>
                <w:sz w:val="20"/>
                <w:szCs w:val="20"/>
              </w:rPr>
              <w:t>Mentok</w:t>
            </w:r>
            <w:proofErr w:type="spellEnd"/>
          </w:p>
        </w:tc>
        <w:tc>
          <w:tcPr>
            <w:tcW w:w="3080" w:type="dxa"/>
            <w:hideMark/>
          </w:tcPr>
          <w:p w14:paraId="1062F5FA" w14:textId="77777777" w:rsidR="00294C38" w:rsidRPr="006F289C" w:rsidRDefault="00294C38" w:rsidP="00B97E7E">
            <w:pPr>
              <w:rPr>
                <w:rFonts w:eastAsia="Times New Roman"/>
                <w:sz w:val="20"/>
                <w:szCs w:val="20"/>
              </w:rPr>
            </w:pPr>
            <w:r w:rsidRPr="006F289C">
              <w:rPr>
                <w:rFonts w:eastAsia="Times New Roman"/>
                <w:sz w:val="20"/>
                <w:szCs w:val="20"/>
              </w:rPr>
              <w:t>Indonesia</w:t>
            </w:r>
          </w:p>
        </w:tc>
      </w:tr>
      <w:tr w:rsidR="00294C38" w:rsidRPr="006F289C" w14:paraId="5A9D0D68" w14:textId="77777777" w:rsidTr="00B97E7E">
        <w:trPr>
          <w:trHeight w:val="300"/>
        </w:trPr>
        <w:tc>
          <w:tcPr>
            <w:tcW w:w="1145" w:type="dxa"/>
            <w:noWrap/>
            <w:hideMark/>
          </w:tcPr>
          <w:p w14:paraId="5676703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18BBBDC8"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Resind</w:t>
            </w:r>
            <w:proofErr w:type="spellEnd"/>
            <w:r w:rsidRPr="006F289C">
              <w:rPr>
                <w:rFonts w:eastAsia="Times New Roman"/>
                <w:sz w:val="20"/>
                <w:szCs w:val="20"/>
              </w:rPr>
              <w:t xml:space="preserve"> Industria e Comercio Ltda.</w:t>
            </w:r>
          </w:p>
        </w:tc>
        <w:tc>
          <w:tcPr>
            <w:tcW w:w="3080" w:type="dxa"/>
            <w:hideMark/>
          </w:tcPr>
          <w:p w14:paraId="756C664A"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27F10" w:rsidRPr="006F289C" w14:paraId="3F561DD4" w14:textId="77777777" w:rsidTr="00B97E7E">
        <w:trPr>
          <w:trHeight w:val="300"/>
        </w:trPr>
        <w:tc>
          <w:tcPr>
            <w:tcW w:w="1145" w:type="dxa"/>
            <w:noWrap/>
          </w:tcPr>
          <w:p w14:paraId="24C5B286" w14:textId="22626F85" w:rsidR="00227F10" w:rsidRPr="006F289C" w:rsidRDefault="00227F10" w:rsidP="00B97E7E">
            <w:pPr>
              <w:rPr>
                <w:rFonts w:eastAsia="Times New Roman"/>
                <w:color w:val="343A40"/>
                <w:sz w:val="20"/>
                <w:szCs w:val="20"/>
              </w:rPr>
            </w:pPr>
            <w:r>
              <w:rPr>
                <w:rFonts w:eastAsia="Times New Roman"/>
                <w:color w:val="343A40"/>
                <w:sz w:val="20"/>
                <w:szCs w:val="20"/>
              </w:rPr>
              <w:t>Tin</w:t>
            </w:r>
          </w:p>
        </w:tc>
        <w:tc>
          <w:tcPr>
            <w:tcW w:w="4837" w:type="dxa"/>
          </w:tcPr>
          <w:p w14:paraId="4F5E7693" w14:textId="5220D171" w:rsidR="00227F10" w:rsidRPr="006F289C" w:rsidRDefault="00227F10" w:rsidP="00B97E7E">
            <w:pPr>
              <w:rPr>
                <w:rFonts w:eastAsia="Times New Roman"/>
                <w:sz w:val="20"/>
                <w:szCs w:val="20"/>
              </w:rPr>
            </w:pPr>
            <w:proofErr w:type="spellStart"/>
            <w:r>
              <w:rPr>
                <w:rFonts w:eastAsia="Times New Roman"/>
                <w:sz w:val="20"/>
                <w:szCs w:val="20"/>
              </w:rPr>
              <w:t>Rikayaa</w:t>
            </w:r>
            <w:proofErr w:type="spellEnd"/>
            <w:r>
              <w:rPr>
                <w:rFonts w:eastAsia="Times New Roman"/>
                <w:sz w:val="20"/>
                <w:szCs w:val="20"/>
              </w:rPr>
              <w:t xml:space="preserve"> Greentech Private Limited</w:t>
            </w:r>
          </w:p>
        </w:tc>
        <w:tc>
          <w:tcPr>
            <w:tcW w:w="3080" w:type="dxa"/>
          </w:tcPr>
          <w:p w14:paraId="75F7D292" w14:textId="7B4B822E" w:rsidR="00227F10" w:rsidRPr="006F289C" w:rsidRDefault="00227F10" w:rsidP="00B97E7E">
            <w:pPr>
              <w:rPr>
                <w:rFonts w:eastAsia="Times New Roman"/>
                <w:sz w:val="20"/>
                <w:szCs w:val="20"/>
              </w:rPr>
            </w:pPr>
            <w:r>
              <w:rPr>
                <w:rFonts w:eastAsia="Times New Roman"/>
                <w:sz w:val="20"/>
                <w:szCs w:val="20"/>
              </w:rPr>
              <w:t>India</w:t>
            </w:r>
          </w:p>
        </w:tc>
      </w:tr>
      <w:tr w:rsidR="00294C38" w:rsidRPr="006F289C" w14:paraId="4FD48370" w14:textId="77777777" w:rsidTr="00B97E7E">
        <w:trPr>
          <w:trHeight w:val="300"/>
        </w:trPr>
        <w:tc>
          <w:tcPr>
            <w:tcW w:w="1145" w:type="dxa"/>
            <w:noWrap/>
            <w:hideMark/>
          </w:tcPr>
          <w:p w14:paraId="1B70932E"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8CB0362" w14:textId="77777777" w:rsidR="00294C38" w:rsidRPr="006F289C" w:rsidRDefault="00294C38" w:rsidP="00B97E7E">
            <w:pPr>
              <w:rPr>
                <w:rFonts w:eastAsia="Times New Roman"/>
                <w:sz w:val="20"/>
                <w:szCs w:val="20"/>
              </w:rPr>
            </w:pPr>
            <w:r w:rsidRPr="006F289C">
              <w:rPr>
                <w:rFonts w:eastAsia="Times New Roman"/>
                <w:sz w:val="20"/>
                <w:szCs w:val="20"/>
              </w:rPr>
              <w:t>Rui Da Hung</w:t>
            </w:r>
          </w:p>
        </w:tc>
        <w:tc>
          <w:tcPr>
            <w:tcW w:w="3080" w:type="dxa"/>
            <w:hideMark/>
          </w:tcPr>
          <w:p w14:paraId="2F4D9EDE" w14:textId="77777777" w:rsidR="00294C38" w:rsidRPr="006F289C" w:rsidRDefault="00294C38" w:rsidP="00B97E7E">
            <w:pPr>
              <w:rPr>
                <w:rFonts w:eastAsia="Times New Roman"/>
                <w:sz w:val="20"/>
                <w:szCs w:val="20"/>
              </w:rPr>
            </w:pPr>
            <w:r w:rsidRPr="006F289C">
              <w:rPr>
                <w:rFonts w:eastAsia="Times New Roman"/>
                <w:sz w:val="20"/>
                <w:szCs w:val="20"/>
              </w:rPr>
              <w:t>Taiwan, Province Of China</w:t>
            </w:r>
          </w:p>
        </w:tc>
      </w:tr>
      <w:tr w:rsidR="00294C38" w:rsidRPr="006F289C" w14:paraId="7776FC94" w14:textId="77777777" w:rsidTr="00B97E7E">
        <w:trPr>
          <w:trHeight w:val="300"/>
        </w:trPr>
        <w:tc>
          <w:tcPr>
            <w:tcW w:w="1145" w:type="dxa"/>
            <w:noWrap/>
            <w:hideMark/>
          </w:tcPr>
          <w:p w14:paraId="26C342E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2BEA118D" w14:textId="77777777" w:rsidR="00294C38" w:rsidRPr="006F289C" w:rsidRDefault="00294C38" w:rsidP="00B97E7E">
            <w:pPr>
              <w:rPr>
                <w:rFonts w:eastAsia="Times New Roman"/>
                <w:sz w:val="20"/>
                <w:szCs w:val="20"/>
              </w:rPr>
            </w:pPr>
            <w:r w:rsidRPr="006F289C">
              <w:rPr>
                <w:rFonts w:eastAsia="Times New Roman"/>
                <w:sz w:val="20"/>
                <w:szCs w:val="20"/>
              </w:rPr>
              <w:t>Super Ligas</w:t>
            </w:r>
          </w:p>
        </w:tc>
        <w:tc>
          <w:tcPr>
            <w:tcW w:w="3080" w:type="dxa"/>
            <w:hideMark/>
          </w:tcPr>
          <w:p w14:paraId="4DB01734"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27F10" w:rsidRPr="006F289C" w14:paraId="067C6BAE" w14:textId="77777777" w:rsidTr="00B97E7E">
        <w:trPr>
          <w:trHeight w:val="300"/>
        </w:trPr>
        <w:tc>
          <w:tcPr>
            <w:tcW w:w="1145" w:type="dxa"/>
            <w:noWrap/>
          </w:tcPr>
          <w:p w14:paraId="04F009EB" w14:textId="0DCDF148" w:rsidR="00227F10" w:rsidRPr="006F289C" w:rsidRDefault="00227F10" w:rsidP="00B97E7E">
            <w:pPr>
              <w:rPr>
                <w:rFonts w:eastAsia="Times New Roman"/>
                <w:color w:val="343A40"/>
                <w:sz w:val="20"/>
                <w:szCs w:val="20"/>
              </w:rPr>
            </w:pPr>
            <w:r>
              <w:rPr>
                <w:rFonts w:eastAsia="Times New Roman"/>
                <w:color w:val="343A40"/>
                <w:sz w:val="20"/>
                <w:szCs w:val="20"/>
              </w:rPr>
              <w:t>Tin</w:t>
            </w:r>
          </w:p>
        </w:tc>
        <w:tc>
          <w:tcPr>
            <w:tcW w:w="4837" w:type="dxa"/>
          </w:tcPr>
          <w:p w14:paraId="07B933AC" w14:textId="0ECC0627" w:rsidR="00227F10" w:rsidRPr="006F289C" w:rsidRDefault="00227F10" w:rsidP="00B97E7E">
            <w:pPr>
              <w:rPr>
                <w:rFonts w:eastAsia="Times New Roman"/>
                <w:sz w:val="20"/>
                <w:szCs w:val="20"/>
              </w:rPr>
            </w:pPr>
            <w:r>
              <w:rPr>
                <w:rFonts w:eastAsia="Times New Roman"/>
                <w:sz w:val="20"/>
                <w:szCs w:val="20"/>
              </w:rPr>
              <w:t xml:space="preserve">Takehara PVD Materials Plant/ PVD Materials Division of Mitsui Mining </w:t>
            </w:r>
          </w:p>
        </w:tc>
        <w:tc>
          <w:tcPr>
            <w:tcW w:w="3080" w:type="dxa"/>
          </w:tcPr>
          <w:p w14:paraId="670002E8" w14:textId="5CDB9AA5" w:rsidR="00227F10" w:rsidRPr="006F289C" w:rsidRDefault="00227F10" w:rsidP="00B97E7E">
            <w:pPr>
              <w:rPr>
                <w:rFonts w:eastAsia="Times New Roman"/>
                <w:sz w:val="20"/>
                <w:szCs w:val="20"/>
              </w:rPr>
            </w:pPr>
            <w:r>
              <w:rPr>
                <w:rFonts w:eastAsia="Times New Roman"/>
                <w:sz w:val="20"/>
                <w:szCs w:val="20"/>
              </w:rPr>
              <w:t>Japan</w:t>
            </w:r>
          </w:p>
        </w:tc>
      </w:tr>
      <w:tr w:rsidR="00294C38" w:rsidRPr="006F289C" w14:paraId="056CAD86" w14:textId="77777777" w:rsidTr="00B97E7E">
        <w:trPr>
          <w:trHeight w:val="300"/>
        </w:trPr>
        <w:tc>
          <w:tcPr>
            <w:tcW w:w="1145" w:type="dxa"/>
            <w:noWrap/>
            <w:hideMark/>
          </w:tcPr>
          <w:p w14:paraId="45A70F0E"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34F96B05" w14:textId="77777777" w:rsidR="00294C38" w:rsidRPr="006F289C" w:rsidRDefault="00294C38" w:rsidP="00B97E7E">
            <w:pPr>
              <w:rPr>
                <w:rFonts w:eastAsia="Times New Roman"/>
                <w:sz w:val="20"/>
                <w:szCs w:val="20"/>
              </w:rPr>
            </w:pPr>
            <w:proofErr w:type="spellStart"/>
            <w:r w:rsidRPr="006F289C">
              <w:rPr>
                <w:rFonts w:eastAsia="Times New Roman"/>
                <w:sz w:val="20"/>
                <w:szCs w:val="20"/>
              </w:rPr>
              <w:t>Thaisarco</w:t>
            </w:r>
            <w:proofErr w:type="spellEnd"/>
          </w:p>
        </w:tc>
        <w:tc>
          <w:tcPr>
            <w:tcW w:w="3080" w:type="dxa"/>
            <w:hideMark/>
          </w:tcPr>
          <w:p w14:paraId="5F8B7DF9" w14:textId="77777777" w:rsidR="00294C38" w:rsidRPr="006F289C" w:rsidRDefault="00294C38" w:rsidP="00B97E7E">
            <w:pPr>
              <w:rPr>
                <w:rFonts w:eastAsia="Times New Roman"/>
                <w:sz w:val="20"/>
                <w:szCs w:val="20"/>
              </w:rPr>
            </w:pPr>
            <w:r w:rsidRPr="006F289C">
              <w:rPr>
                <w:rFonts w:eastAsia="Times New Roman"/>
                <w:sz w:val="20"/>
                <w:szCs w:val="20"/>
              </w:rPr>
              <w:t>Thailand</w:t>
            </w:r>
          </w:p>
        </w:tc>
      </w:tr>
      <w:tr w:rsidR="00294C38" w:rsidRPr="006F289C" w14:paraId="7CA296E4" w14:textId="77777777" w:rsidTr="00B97E7E">
        <w:trPr>
          <w:trHeight w:val="300"/>
        </w:trPr>
        <w:tc>
          <w:tcPr>
            <w:tcW w:w="1145" w:type="dxa"/>
            <w:noWrap/>
            <w:hideMark/>
          </w:tcPr>
          <w:p w14:paraId="3549AF0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66CC1547" w14:textId="77777777" w:rsidR="00294C38" w:rsidRPr="006F289C" w:rsidRDefault="00294C38" w:rsidP="00B97E7E">
            <w:pPr>
              <w:rPr>
                <w:rFonts w:eastAsia="Times New Roman"/>
                <w:sz w:val="20"/>
                <w:szCs w:val="20"/>
              </w:rPr>
            </w:pPr>
            <w:r w:rsidRPr="006F289C">
              <w:rPr>
                <w:rFonts w:eastAsia="Times New Roman"/>
                <w:sz w:val="20"/>
                <w:szCs w:val="20"/>
              </w:rPr>
              <w:t>Tin Smelting Branch of Yunnan Tin Co., Ltd.</w:t>
            </w:r>
          </w:p>
        </w:tc>
        <w:tc>
          <w:tcPr>
            <w:tcW w:w="3080" w:type="dxa"/>
            <w:hideMark/>
          </w:tcPr>
          <w:p w14:paraId="3E59230E"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2C09B476" w14:textId="77777777" w:rsidTr="00B97E7E">
        <w:trPr>
          <w:trHeight w:val="300"/>
        </w:trPr>
        <w:tc>
          <w:tcPr>
            <w:tcW w:w="1145" w:type="dxa"/>
            <w:noWrap/>
            <w:hideMark/>
          </w:tcPr>
          <w:p w14:paraId="04839B9F"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7F5E0BA" w14:textId="77777777" w:rsidR="00294C38" w:rsidRPr="006F289C" w:rsidRDefault="00294C38" w:rsidP="00B97E7E">
            <w:pPr>
              <w:rPr>
                <w:rFonts w:eastAsia="Times New Roman"/>
                <w:sz w:val="20"/>
                <w:szCs w:val="20"/>
              </w:rPr>
            </w:pPr>
            <w:r w:rsidRPr="006F289C">
              <w:rPr>
                <w:rFonts w:eastAsia="Times New Roman"/>
                <w:sz w:val="20"/>
                <w:szCs w:val="20"/>
              </w:rPr>
              <w:t>Tin Technology &amp; Refining</w:t>
            </w:r>
          </w:p>
        </w:tc>
        <w:tc>
          <w:tcPr>
            <w:tcW w:w="3080" w:type="dxa"/>
            <w:hideMark/>
          </w:tcPr>
          <w:p w14:paraId="3EBB21BA" w14:textId="77777777" w:rsidR="00294C38" w:rsidRPr="006F289C" w:rsidRDefault="00294C38" w:rsidP="00B97E7E">
            <w:pPr>
              <w:rPr>
                <w:rFonts w:eastAsia="Times New Roman"/>
                <w:sz w:val="20"/>
                <w:szCs w:val="20"/>
              </w:rPr>
            </w:pPr>
            <w:r w:rsidRPr="006F289C">
              <w:rPr>
                <w:rFonts w:eastAsia="Times New Roman"/>
                <w:sz w:val="20"/>
                <w:szCs w:val="20"/>
              </w:rPr>
              <w:t>United States Of America</w:t>
            </w:r>
          </w:p>
        </w:tc>
      </w:tr>
      <w:tr w:rsidR="00294C38" w:rsidRPr="006F289C" w14:paraId="7A20BDB6" w14:textId="77777777" w:rsidTr="00B97E7E">
        <w:trPr>
          <w:trHeight w:val="300"/>
        </w:trPr>
        <w:tc>
          <w:tcPr>
            <w:tcW w:w="1145" w:type="dxa"/>
            <w:noWrap/>
            <w:hideMark/>
          </w:tcPr>
          <w:p w14:paraId="0E4A24A6"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D6CA47C" w14:textId="77777777" w:rsidR="00294C38" w:rsidRPr="006F289C" w:rsidRDefault="00294C38" w:rsidP="00B97E7E">
            <w:pPr>
              <w:rPr>
                <w:rFonts w:eastAsia="Times New Roman"/>
                <w:sz w:val="20"/>
                <w:szCs w:val="20"/>
              </w:rPr>
            </w:pPr>
            <w:r w:rsidRPr="006F289C">
              <w:rPr>
                <w:rFonts w:eastAsia="Times New Roman"/>
                <w:sz w:val="20"/>
                <w:szCs w:val="20"/>
              </w:rPr>
              <w:t>VQB Mineral and Trading Group JSC</w:t>
            </w:r>
          </w:p>
        </w:tc>
        <w:tc>
          <w:tcPr>
            <w:tcW w:w="3080" w:type="dxa"/>
            <w:hideMark/>
          </w:tcPr>
          <w:p w14:paraId="5BEEFB04" w14:textId="77777777" w:rsidR="00294C38" w:rsidRPr="006F289C" w:rsidRDefault="00294C38" w:rsidP="00B97E7E">
            <w:pPr>
              <w:rPr>
                <w:rFonts w:eastAsia="Times New Roman"/>
                <w:sz w:val="20"/>
                <w:szCs w:val="20"/>
              </w:rPr>
            </w:pPr>
            <w:r w:rsidRPr="006F289C">
              <w:rPr>
                <w:rFonts w:eastAsia="Times New Roman"/>
                <w:sz w:val="20"/>
                <w:szCs w:val="20"/>
              </w:rPr>
              <w:t>Viet Nam</w:t>
            </w:r>
          </w:p>
        </w:tc>
      </w:tr>
      <w:tr w:rsidR="00294C38" w:rsidRPr="006F289C" w14:paraId="6718E3FB" w14:textId="77777777" w:rsidTr="00B97E7E">
        <w:trPr>
          <w:trHeight w:val="300"/>
        </w:trPr>
        <w:tc>
          <w:tcPr>
            <w:tcW w:w="1145" w:type="dxa"/>
            <w:noWrap/>
            <w:hideMark/>
          </w:tcPr>
          <w:p w14:paraId="551AF995"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06E5BCBF" w14:textId="77777777" w:rsidR="00294C38" w:rsidRPr="006F289C" w:rsidRDefault="00294C38" w:rsidP="00B97E7E">
            <w:pPr>
              <w:rPr>
                <w:rFonts w:eastAsia="Times New Roman"/>
                <w:sz w:val="20"/>
                <w:szCs w:val="20"/>
              </w:rPr>
            </w:pPr>
            <w:r w:rsidRPr="006F289C">
              <w:rPr>
                <w:rFonts w:eastAsia="Times New Roman"/>
                <w:sz w:val="20"/>
                <w:szCs w:val="20"/>
              </w:rPr>
              <w:t xml:space="preserve">White Solder </w:t>
            </w:r>
            <w:proofErr w:type="spellStart"/>
            <w:r w:rsidRPr="006F289C">
              <w:rPr>
                <w:rFonts w:eastAsia="Times New Roman"/>
                <w:sz w:val="20"/>
                <w:szCs w:val="20"/>
              </w:rPr>
              <w:t>Metalurgia</w:t>
            </w:r>
            <w:proofErr w:type="spellEnd"/>
            <w:r w:rsidRPr="006F289C">
              <w:rPr>
                <w:rFonts w:eastAsia="Times New Roman"/>
                <w:sz w:val="20"/>
                <w:szCs w:val="20"/>
              </w:rPr>
              <w:t xml:space="preserve"> e </w:t>
            </w:r>
            <w:proofErr w:type="spellStart"/>
            <w:r w:rsidRPr="006F289C">
              <w:rPr>
                <w:rFonts w:eastAsia="Times New Roman"/>
                <w:sz w:val="20"/>
                <w:szCs w:val="20"/>
              </w:rPr>
              <w:t>Mineracao</w:t>
            </w:r>
            <w:proofErr w:type="spellEnd"/>
            <w:r w:rsidRPr="006F289C">
              <w:rPr>
                <w:rFonts w:eastAsia="Times New Roman"/>
                <w:sz w:val="20"/>
                <w:szCs w:val="20"/>
              </w:rPr>
              <w:t xml:space="preserve"> Ltda.</w:t>
            </w:r>
          </w:p>
        </w:tc>
        <w:tc>
          <w:tcPr>
            <w:tcW w:w="3080" w:type="dxa"/>
            <w:hideMark/>
          </w:tcPr>
          <w:p w14:paraId="3686A947" w14:textId="77777777" w:rsidR="00294C38" w:rsidRPr="006F289C" w:rsidRDefault="00294C38" w:rsidP="00B97E7E">
            <w:pPr>
              <w:rPr>
                <w:rFonts w:eastAsia="Times New Roman"/>
                <w:sz w:val="20"/>
                <w:szCs w:val="20"/>
              </w:rPr>
            </w:pPr>
            <w:r w:rsidRPr="006F289C">
              <w:rPr>
                <w:rFonts w:eastAsia="Times New Roman"/>
                <w:sz w:val="20"/>
                <w:szCs w:val="20"/>
              </w:rPr>
              <w:t>Brazil</w:t>
            </w:r>
          </w:p>
        </w:tc>
      </w:tr>
      <w:tr w:rsidR="00227F10" w:rsidRPr="006F289C" w14:paraId="2E3BE204" w14:textId="77777777" w:rsidTr="00B97E7E">
        <w:trPr>
          <w:trHeight w:val="300"/>
        </w:trPr>
        <w:tc>
          <w:tcPr>
            <w:tcW w:w="1145" w:type="dxa"/>
            <w:noWrap/>
          </w:tcPr>
          <w:p w14:paraId="2175C115" w14:textId="4620259B" w:rsidR="00227F10" w:rsidRPr="006F289C" w:rsidRDefault="00227F10" w:rsidP="00B97E7E">
            <w:pPr>
              <w:rPr>
                <w:rFonts w:eastAsia="Times New Roman"/>
                <w:color w:val="343A40"/>
                <w:sz w:val="20"/>
                <w:szCs w:val="20"/>
              </w:rPr>
            </w:pPr>
            <w:r>
              <w:rPr>
                <w:rFonts w:eastAsia="Times New Roman"/>
                <w:color w:val="343A40"/>
                <w:sz w:val="20"/>
                <w:szCs w:val="20"/>
              </w:rPr>
              <w:t>Tin</w:t>
            </w:r>
          </w:p>
        </w:tc>
        <w:tc>
          <w:tcPr>
            <w:tcW w:w="4837" w:type="dxa"/>
          </w:tcPr>
          <w:p w14:paraId="3D7D1919" w14:textId="242303AF" w:rsidR="00227F10" w:rsidRPr="006F289C" w:rsidRDefault="00227F10" w:rsidP="00B97E7E">
            <w:pPr>
              <w:rPr>
                <w:rFonts w:eastAsia="Times New Roman"/>
                <w:sz w:val="20"/>
                <w:szCs w:val="20"/>
              </w:rPr>
            </w:pPr>
            <w:proofErr w:type="spellStart"/>
            <w:r>
              <w:rPr>
                <w:rFonts w:eastAsia="Times New Roman"/>
                <w:sz w:val="20"/>
                <w:szCs w:val="20"/>
              </w:rPr>
              <w:t>Woodcross</w:t>
            </w:r>
            <w:proofErr w:type="spellEnd"/>
            <w:r>
              <w:rPr>
                <w:rFonts w:eastAsia="Times New Roman"/>
                <w:sz w:val="20"/>
                <w:szCs w:val="20"/>
              </w:rPr>
              <w:t xml:space="preserve"> Smelting Company Limited</w:t>
            </w:r>
          </w:p>
        </w:tc>
        <w:tc>
          <w:tcPr>
            <w:tcW w:w="3080" w:type="dxa"/>
          </w:tcPr>
          <w:p w14:paraId="03389F17" w14:textId="51A6D7D4" w:rsidR="00227F10" w:rsidRPr="006F289C" w:rsidRDefault="00227F10" w:rsidP="00B97E7E">
            <w:pPr>
              <w:rPr>
                <w:rFonts w:eastAsia="Times New Roman"/>
                <w:sz w:val="20"/>
                <w:szCs w:val="20"/>
              </w:rPr>
            </w:pPr>
            <w:r>
              <w:rPr>
                <w:rFonts w:eastAsia="Times New Roman"/>
                <w:sz w:val="20"/>
                <w:szCs w:val="20"/>
              </w:rPr>
              <w:t>Uganda</w:t>
            </w:r>
          </w:p>
        </w:tc>
      </w:tr>
      <w:tr w:rsidR="00294C38" w:rsidRPr="006F289C" w14:paraId="62C424D1" w14:textId="77777777" w:rsidTr="00B97E7E">
        <w:trPr>
          <w:trHeight w:val="300"/>
        </w:trPr>
        <w:tc>
          <w:tcPr>
            <w:tcW w:w="1145" w:type="dxa"/>
            <w:noWrap/>
            <w:hideMark/>
          </w:tcPr>
          <w:p w14:paraId="5921714C"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73044CD8" w14:textId="77777777" w:rsidR="00294C38" w:rsidRPr="006F289C" w:rsidRDefault="00294C38" w:rsidP="00B97E7E">
            <w:pPr>
              <w:rPr>
                <w:rFonts w:eastAsia="Times New Roman"/>
                <w:sz w:val="20"/>
                <w:szCs w:val="20"/>
              </w:rPr>
            </w:pPr>
            <w:r w:rsidRPr="006F289C">
              <w:rPr>
                <w:rFonts w:eastAsia="Times New Roman"/>
                <w:sz w:val="20"/>
                <w:szCs w:val="20"/>
              </w:rPr>
              <w:t>Yunnan Chengfeng Non-ferrous Metals Co., Ltd.</w:t>
            </w:r>
          </w:p>
        </w:tc>
        <w:tc>
          <w:tcPr>
            <w:tcW w:w="3080" w:type="dxa"/>
            <w:hideMark/>
          </w:tcPr>
          <w:p w14:paraId="0704EB51"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25547129" w14:textId="77777777" w:rsidTr="00B97E7E">
        <w:trPr>
          <w:trHeight w:val="300"/>
        </w:trPr>
        <w:tc>
          <w:tcPr>
            <w:tcW w:w="1145" w:type="dxa"/>
            <w:noWrap/>
            <w:hideMark/>
          </w:tcPr>
          <w:p w14:paraId="19C54E14" w14:textId="77777777" w:rsidR="00294C38" w:rsidRPr="006F289C" w:rsidRDefault="00294C38" w:rsidP="00B97E7E">
            <w:pPr>
              <w:rPr>
                <w:rFonts w:eastAsia="Times New Roman"/>
                <w:color w:val="343A40"/>
                <w:sz w:val="20"/>
                <w:szCs w:val="20"/>
              </w:rPr>
            </w:pPr>
            <w:r w:rsidRPr="006F289C">
              <w:rPr>
                <w:rFonts w:eastAsia="Times New Roman"/>
                <w:color w:val="343A40"/>
                <w:sz w:val="20"/>
                <w:szCs w:val="20"/>
              </w:rPr>
              <w:t>Tin</w:t>
            </w:r>
          </w:p>
        </w:tc>
        <w:tc>
          <w:tcPr>
            <w:tcW w:w="4837" w:type="dxa"/>
            <w:hideMark/>
          </w:tcPr>
          <w:p w14:paraId="41511B2D" w14:textId="77777777" w:rsidR="00294C38" w:rsidRPr="006F289C" w:rsidRDefault="00294C38" w:rsidP="00B97E7E">
            <w:pPr>
              <w:rPr>
                <w:rFonts w:eastAsia="Times New Roman"/>
                <w:sz w:val="20"/>
                <w:szCs w:val="20"/>
              </w:rPr>
            </w:pPr>
            <w:r w:rsidRPr="006F289C">
              <w:rPr>
                <w:rFonts w:eastAsia="Times New Roman"/>
                <w:sz w:val="20"/>
                <w:szCs w:val="20"/>
              </w:rPr>
              <w:t>Yunnan Yunfan Non-ferrous Metals Co., Ltd.</w:t>
            </w:r>
          </w:p>
        </w:tc>
        <w:tc>
          <w:tcPr>
            <w:tcW w:w="3080" w:type="dxa"/>
            <w:hideMark/>
          </w:tcPr>
          <w:p w14:paraId="5F8C52E1" w14:textId="77777777" w:rsidR="00294C38" w:rsidRPr="006F289C" w:rsidRDefault="00294C38" w:rsidP="00B97E7E">
            <w:pPr>
              <w:rPr>
                <w:rFonts w:eastAsia="Times New Roman"/>
                <w:sz w:val="20"/>
                <w:szCs w:val="20"/>
              </w:rPr>
            </w:pPr>
            <w:r w:rsidRPr="006F289C">
              <w:rPr>
                <w:rFonts w:eastAsia="Times New Roman"/>
                <w:sz w:val="20"/>
                <w:szCs w:val="20"/>
              </w:rPr>
              <w:t>China</w:t>
            </w:r>
          </w:p>
        </w:tc>
      </w:tr>
      <w:tr w:rsidR="00294C38" w:rsidRPr="006F289C" w14:paraId="1FC32FF4" w14:textId="77777777" w:rsidTr="00B97E7E">
        <w:trPr>
          <w:trHeight w:val="300"/>
        </w:trPr>
        <w:tc>
          <w:tcPr>
            <w:tcW w:w="1145" w:type="dxa"/>
            <w:noWrap/>
            <w:hideMark/>
          </w:tcPr>
          <w:p w14:paraId="106CD229" w14:textId="77777777" w:rsidR="00294C38" w:rsidRPr="007851C3" w:rsidRDefault="00294C38" w:rsidP="00B97E7E">
            <w:pPr>
              <w:rPr>
                <w:rFonts w:eastAsia="Times New Roman"/>
                <w:color w:val="343A40"/>
                <w:sz w:val="20"/>
                <w:szCs w:val="20"/>
              </w:rPr>
            </w:pPr>
            <w:r w:rsidRPr="007851C3">
              <w:rPr>
                <w:rFonts w:eastAsia="Times New Roman"/>
                <w:color w:val="343A40"/>
                <w:sz w:val="20"/>
                <w:szCs w:val="20"/>
              </w:rPr>
              <w:t>Tungsten</w:t>
            </w:r>
          </w:p>
        </w:tc>
        <w:tc>
          <w:tcPr>
            <w:tcW w:w="4837" w:type="dxa"/>
            <w:hideMark/>
          </w:tcPr>
          <w:p w14:paraId="39C72418" w14:textId="77777777" w:rsidR="00294C38" w:rsidRPr="007851C3" w:rsidRDefault="00294C38" w:rsidP="00B97E7E">
            <w:pPr>
              <w:rPr>
                <w:rFonts w:eastAsia="Times New Roman"/>
                <w:sz w:val="20"/>
                <w:szCs w:val="20"/>
              </w:rPr>
            </w:pPr>
            <w:r w:rsidRPr="007851C3">
              <w:rPr>
                <w:rFonts w:eastAsia="Times New Roman"/>
                <w:sz w:val="20"/>
                <w:szCs w:val="20"/>
              </w:rPr>
              <w:t>Asia Tungsten Products Vietnam Ltd.</w:t>
            </w:r>
          </w:p>
        </w:tc>
        <w:tc>
          <w:tcPr>
            <w:tcW w:w="3080" w:type="dxa"/>
            <w:hideMark/>
          </w:tcPr>
          <w:p w14:paraId="27C08536" w14:textId="77777777" w:rsidR="00294C38" w:rsidRPr="006F289C" w:rsidRDefault="00294C38" w:rsidP="00B97E7E">
            <w:pPr>
              <w:rPr>
                <w:rFonts w:eastAsia="Times New Roman"/>
                <w:sz w:val="20"/>
                <w:szCs w:val="20"/>
              </w:rPr>
            </w:pPr>
            <w:r w:rsidRPr="007851C3">
              <w:rPr>
                <w:rFonts w:eastAsia="Times New Roman"/>
                <w:sz w:val="20"/>
                <w:szCs w:val="20"/>
              </w:rPr>
              <w:t>Viet Nam</w:t>
            </w:r>
          </w:p>
        </w:tc>
      </w:tr>
      <w:tr w:rsidR="00294C38" w:rsidRPr="006F289C" w14:paraId="39B24801" w14:textId="77777777" w:rsidTr="00B97E7E">
        <w:trPr>
          <w:trHeight w:val="300"/>
        </w:trPr>
        <w:tc>
          <w:tcPr>
            <w:tcW w:w="1145" w:type="dxa"/>
            <w:noWrap/>
            <w:hideMark/>
          </w:tcPr>
          <w:p w14:paraId="481B9590" w14:textId="77777777" w:rsidR="00294C38" w:rsidRPr="007851C3" w:rsidRDefault="00294C38" w:rsidP="00B97E7E">
            <w:pPr>
              <w:rPr>
                <w:rFonts w:eastAsia="Times New Roman"/>
                <w:color w:val="343A40"/>
                <w:sz w:val="20"/>
                <w:szCs w:val="20"/>
              </w:rPr>
            </w:pPr>
            <w:r w:rsidRPr="007851C3">
              <w:rPr>
                <w:rFonts w:eastAsia="Times New Roman"/>
                <w:color w:val="343A40"/>
                <w:sz w:val="20"/>
                <w:szCs w:val="20"/>
              </w:rPr>
              <w:lastRenderedPageBreak/>
              <w:t>Tungsten</w:t>
            </w:r>
          </w:p>
        </w:tc>
        <w:tc>
          <w:tcPr>
            <w:tcW w:w="4837" w:type="dxa"/>
            <w:hideMark/>
          </w:tcPr>
          <w:p w14:paraId="654583D6" w14:textId="77777777" w:rsidR="00294C38" w:rsidRPr="007851C3" w:rsidRDefault="00294C38" w:rsidP="00B97E7E">
            <w:pPr>
              <w:rPr>
                <w:rFonts w:eastAsia="Times New Roman"/>
                <w:sz w:val="20"/>
                <w:szCs w:val="20"/>
              </w:rPr>
            </w:pPr>
            <w:r w:rsidRPr="007851C3">
              <w:rPr>
                <w:rFonts w:eastAsia="Times New Roman"/>
                <w:sz w:val="20"/>
                <w:szCs w:val="20"/>
              </w:rPr>
              <w:t>Ganzhou Jiangwu Ferrotungsten Co., Ltd.</w:t>
            </w:r>
          </w:p>
        </w:tc>
        <w:tc>
          <w:tcPr>
            <w:tcW w:w="3080" w:type="dxa"/>
            <w:hideMark/>
          </w:tcPr>
          <w:p w14:paraId="36DF905E" w14:textId="77777777" w:rsidR="00294C38" w:rsidRPr="006F289C" w:rsidRDefault="00294C38" w:rsidP="00B97E7E">
            <w:pPr>
              <w:rPr>
                <w:rFonts w:eastAsia="Times New Roman"/>
                <w:sz w:val="20"/>
                <w:szCs w:val="20"/>
              </w:rPr>
            </w:pPr>
            <w:r w:rsidRPr="007851C3">
              <w:rPr>
                <w:rFonts w:eastAsia="Times New Roman"/>
                <w:sz w:val="20"/>
                <w:szCs w:val="20"/>
              </w:rPr>
              <w:t>China</w:t>
            </w:r>
          </w:p>
        </w:tc>
      </w:tr>
      <w:tr w:rsidR="00294C38" w:rsidRPr="006F289C" w14:paraId="3C544366" w14:textId="77777777" w:rsidTr="00B97E7E">
        <w:trPr>
          <w:trHeight w:val="300"/>
        </w:trPr>
        <w:tc>
          <w:tcPr>
            <w:tcW w:w="1145" w:type="dxa"/>
            <w:noWrap/>
            <w:hideMark/>
          </w:tcPr>
          <w:p w14:paraId="4646A478" w14:textId="77777777" w:rsidR="00294C38" w:rsidRPr="007851C3" w:rsidRDefault="00294C38" w:rsidP="00B97E7E">
            <w:pPr>
              <w:rPr>
                <w:rFonts w:eastAsia="Times New Roman"/>
                <w:color w:val="343A40"/>
                <w:sz w:val="20"/>
                <w:szCs w:val="20"/>
              </w:rPr>
            </w:pPr>
            <w:r w:rsidRPr="007851C3">
              <w:rPr>
                <w:rFonts w:eastAsia="Times New Roman"/>
                <w:color w:val="343A40"/>
                <w:sz w:val="20"/>
                <w:szCs w:val="20"/>
              </w:rPr>
              <w:t>Tungsten</w:t>
            </w:r>
          </w:p>
        </w:tc>
        <w:tc>
          <w:tcPr>
            <w:tcW w:w="4837" w:type="dxa"/>
            <w:hideMark/>
          </w:tcPr>
          <w:p w14:paraId="1F2061A4" w14:textId="77777777" w:rsidR="00294C38" w:rsidRPr="007851C3" w:rsidRDefault="00294C38" w:rsidP="00B97E7E">
            <w:pPr>
              <w:rPr>
                <w:rFonts w:eastAsia="Times New Roman"/>
                <w:sz w:val="20"/>
                <w:szCs w:val="20"/>
              </w:rPr>
            </w:pPr>
            <w:proofErr w:type="spellStart"/>
            <w:r w:rsidRPr="007851C3">
              <w:rPr>
                <w:rFonts w:eastAsia="Times New Roman"/>
                <w:sz w:val="20"/>
                <w:szCs w:val="20"/>
              </w:rPr>
              <w:t>Shinwon</w:t>
            </w:r>
            <w:proofErr w:type="spellEnd"/>
            <w:r w:rsidRPr="007851C3">
              <w:rPr>
                <w:rFonts w:eastAsia="Times New Roman"/>
                <w:sz w:val="20"/>
                <w:szCs w:val="20"/>
              </w:rPr>
              <w:t xml:space="preserve"> Tungsten (Fujian </w:t>
            </w:r>
            <w:proofErr w:type="spellStart"/>
            <w:r w:rsidRPr="007851C3">
              <w:rPr>
                <w:rFonts w:eastAsia="Times New Roman"/>
                <w:sz w:val="20"/>
                <w:szCs w:val="20"/>
              </w:rPr>
              <w:t>Shanghang</w:t>
            </w:r>
            <w:proofErr w:type="spellEnd"/>
            <w:r w:rsidRPr="007851C3">
              <w:rPr>
                <w:rFonts w:eastAsia="Times New Roman"/>
                <w:sz w:val="20"/>
                <w:szCs w:val="20"/>
              </w:rPr>
              <w:t>) Co., Ltd.</w:t>
            </w:r>
          </w:p>
        </w:tc>
        <w:tc>
          <w:tcPr>
            <w:tcW w:w="3080" w:type="dxa"/>
            <w:hideMark/>
          </w:tcPr>
          <w:p w14:paraId="384EA672" w14:textId="77777777" w:rsidR="00294C38" w:rsidRPr="006F289C" w:rsidRDefault="00294C38" w:rsidP="00B97E7E">
            <w:pPr>
              <w:rPr>
                <w:rFonts w:eastAsia="Times New Roman"/>
                <w:sz w:val="20"/>
                <w:szCs w:val="20"/>
              </w:rPr>
            </w:pPr>
            <w:r w:rsidRPr="007851C3">
              <w:rPr>
                <w:rFonts w:eastAsia="Times New Roman"/>
                <w:sz w:val="20"/>
                <w:szCs w:val="20"/>
              </w:rPr>
              <w:t>China</w:t>
            </w:r>
          </w:p>
        </w:tc>
      </w:tr>
    </w:tbl>
    <w:p w14:paraId="25C0EAEC" w14:textId="77777777" w:rsidR="0009708F" w:rsidRPr="00D80723" w:rsidRDefault="0009708F" w:rsidP="00417CBC">
      <w:pPr>
        <w:jc w:val="both"/>
        <w:rPr>
          <w:sz w:val="20"/>
          <w:szCs w:val="20"/>
        </w:rPr>
      </w:pPr>
    </w:p>
    <w:sectPr w:rsidR="0009708F" w:rsidRPr="00D80723" w:rsidSect="00F971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BDAF" w14:textId="77777777" w:rsidR="004F7F62" w:rsidRDefault="004F7F62" w:rsidP="00E660A7">
      <w:pPr>
        <w:spacing w:after="0"/>
      </w:pPr>
      <w:r>
        <w:separator/>
      </w:r>
    </w:p>
  </w:endnote>
  <w:endnote w:type="continuationSeparator" w:id="0">
    <w:p w14:paraId="3B6DBCC3" w14:textId="77777777" w:rsidR="004F7F62" w:rsidRDefault="004F7F62" w:rsidP="00E660A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7653E" w14:textId="77777777" w:rsidR="002C2723" w:rsidRDefault="002C27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237D" w14:textId="77777777" w:rsidR="002C2723" w:rsidRDefault="002C27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5FA9E" w14:textId="77777777" w:rsidR="002C2723" w:rsidRDefault="002C2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E82B8" w14:textId="77777777" w:rsidR="004F7F62" w:rsidRDefault="004F7F62" w:rsidP="00E660A7">
      <w:pPr>
        <w:spacing w:after="0"/>
      </w:pPr>
      <w:r>
        <w:separator/>
      </w:r>
    </w:p>
  </w:footnote>
  <w:footnote w:type="continuationSeparator" w:id="0">
    <w:p w14:paraId="71CE7C6C" w14:textId="77777777" w:rsidR="004F7F62" w:rsidRDefault="004F7F62" w:rsidP="00E660A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3F12D" w14:textId="77777777" w:rsidR="002C2723" w:rsidRDefault="002C27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2753" w14:textId="77777777" w:rsidR="002C2723" w:rsidRDefault="002C27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8CDF" w14:textId="77777777" w:rsidR="002C2723" w:rsidRDefault="002C27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57D"/>
    <w:multiLevelType w:val="hybridMultilevel"/>
    <w:tmpl w:val="FC26E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E7F24F9"/>
    <w:multiLevelType w:val="hybridMultilevel"/>
    <w:tmpl w:val="CB5CF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79874CC"/>
    <w:multiLevelType w:val="hybridMultilevel"/>
    <w:tmpl w:val="242E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1105438">
    <w:abstractNumId w:val="2"/>
  </w:num>
  <w:num w:numId="2" w16cid:durableId="377701809">
    <w:abstractNumId w:val="0"/>
  </w:num>
  <w:num w:numId="3" w16cid:durableId="189484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2D"/>
    <w:rsid w:val="00010A2B"/>
    <w:rsid w:val="000204C1"/>
    <w:rsid w:val="00023182"/>
    <w:rsid w:val="0002660B"/>
    <w:rsid w:val="00026FBD"/>
    <w:rsid w:val="00027456"/>
    <w:rsid w:val="00034F2A"/>
    <w:rsid w:val="000359BE"/>
    <w:rsid w:val="000421A8"/>
    <w:rsid w:val="000450E8"/>
    <w:rsid w:val="000609B8"/>
    <w:rsid w:val="00075F46"/>
    <w:rsid w:val="00094BC3"/>
    <w:rsid w:val="0009708F"/>
    <w:rsid w:val="000A1B77"/>
    <w:rsid w:val="000E0A44"/>
    <w:rsid w:val="000E5EF7"/>
    <w:rsid w:val="00107E50"/>
    <w:rsid w:val="00117652"/>
    <w:rsid w:val="00130D0C"/>
    <w:rsid w:val="00145F35"/>
    <w:rsid w:val="00172E09"/>
    <w:rsid w:val="00196968"/>
    <w:rsid w:val="001C3902"/>
    <w:rsid w:val="001D33AB"/>
    <w:rsid w:val="001E3838"/>
    <w:rsid w:val="001E402B"/>
    <w:rsid w:val="001E4C69"/>
    <w:rsid w:val="001F126B"/>
    <w:rsid w:val="001F2038"/>
    <w:rsid w:val="001F4259"/>
    <w:rsid w:val="001F568D"/>
    <w:rsid w:val="002004DE"/>
    <w:rsid w:val="0020069C"/>
    <w:rsid w:val="00207721"/>
    <w:rsid w:val="00227F07"/>
    <w:rsid w:val="00227F10"/>
    <w:rsid w:val="0024370F"/>
    <w:rsid w:val="00245F7A"/>
    <w:rsid w:val="00260804"/>
    <w:rsid w:val="00282C37"/>
    <w:rsid w:val="00293D60"/>
    <w:rsid w:val="00294C38"/>
    <w:rsid w:val="002A0109"/>
    <w:rsid w:val="002A11A3"/>
    <w:rsid w:val="002A6757"/>
    <w:rsid w:val="002C2723"/>
    <w:rsid w:val="002C6FD3"/>
    <w:rsid w:val="002D5B1B"/>
    <w:rsid w:val="002D6C6F"/>
    <w:rsid w:val="002F4587"/>
    <w:rsid w:val="00313BA9"/>
    <w:rsid w:val="00323384"/>
    <w:rsid w:val="00324538"/>
    <w:rsid w:val="0032547D"/>
    <w:rsid w:val="00343081"/>
    <w:rsid w:val="003716B2"/>
    <w:rsid w:val="00372369"/>
    <w:rsid w:val="00375E09"/>
    <w:rsid w:val="00385FC0"/>
    <w:rsid w:val="003874F4"/>
    <w:rsid w:val="003A1C92"/>
    <w:rsid w:val="003A347E"/>
    <w:rsid w:val="003B0D6C"/>
    <w:rsid w:val="003B1E72"/>
    <w:rsid w:val="003B7B58"/>
    <w:rsid w:val="003C6FAB"/>
    <w:rsid w:val="003C71C5"/>
    <w:rsid w:val="00417CBC"/>
    <w:rsid w:val="004221FD"/>
    <w:rsid w:val="00437DE6"/>
    <w:rsid w:val="0044577E"/>
    <w:rsid w:val="004470A1"/>
    <w:rsid w:val="004476CE"/>
    <w:rsid w:val="00447F58"/>
    <w:rsid w:val="004521EF"/>
    <w:rsid w:val="0046202D"/>
    <w:rsid w:val="00474AEE"/>
    <w:rsid w:val="00492112"/>
    <w:rsid w:val="00495FDA"/>
    <w:rsid w:val="0049752D"/>
    <w:rsid w:val="004B1437"/>
    <w:rsid w:val="004C2AA1"/>
    <w:rsid w:val="004D0B21"/>
    <w:rsid w:val="004E3865"/>
    <w:rsid w:val="004F2F9D"/>
    <w:rsid w:val="004F7F62"/>
    <w:rsid w:val="005146B1"/>
    <w:rsid w:val="005233D5"/>
    <w:rsid w:val="00534A91"/>
    <w:rsid w:val="0053756C"/>
    <w:rsid w:val="00563A2F"/>
    <w:rsid w:val="00566AA2"/>
    <w:rsid w:val="00591C7C"/>
    <w:rsid w:val="00594DFE"/>
    <w:rsid w:val="005A287C"/>
    <w:rsid w:val="005A739C"/>
    <w:rsid w:val="005C71FB"/>
    <w:rsid w:val="005F3232"/>
    <w:rsid w:val="005F3F34"/>
    <w:rsid w:val="005F6B87"/>
    <w:rsid w:val="00614FF1"/>
    <w:rsid w:val="00620A6B"/>
    <w:rsid w:val="006502AD"/>
    <w:rsid w:val="00655ABE"/>
    <w:rsid w:val="00657936"/>
    <w:rsid w:val="00657D5C"/>
    <w:rsid w:val="00662216"/>
    <w:rsid w:val="0066279C"/>
    <w:rsid w:val="00670750"/>
    <w:rsid w:val="006B163C"/>
    <w:rsid w:val="006C0B9F"/>
    <w:rsid w:val="006C6137"/>
    <w:rsid w:val="006F538E"/>
    <w:rsid w:val="007162C3"/>
    <w:rsid w:val="00716E9D"/>
    <w:rsid w:val="00726E92"/>
    <w:rsid w:val="007436E7"/>
    <w:rsid w:val="00750200"/>
    <w:rsid w:val="00753097"/>
    <w:rsid w:val="0076034C"/>
    <w:rsid w:val="00765499"/>
    <w:rsid w:val="00783F48"/>
    <w:rsid w:val="007851C3"/>
    <w:rsid w:val="0079637D"/>
    <w:rsid w:val="007A4837"/>
    <w:rsid w:val="007B7429"/>
    <w:rsid w:val="007C3489"/>
    <w:rsid w:val="007C508D"/>
    <w:rsid w:val="00821B9A"/>
    <w:rsid w:val="00822160"/>
    <w:rsid w:val="00822BBC"/>
    <w:rsid w:val="008244DD"/>
    <w:rsid w:val="008265C8"/>
    <w:rsid w:val="00831304"/>
    <w:rsid w:val="00837C95"/>
    <w:rsid w:val="00841719"/>
    <w:rsid w:val="00841B8B"/>
    <w:rsid w:val="00851BDC"/>
    <w:rsid w:val="008540B0"/>
    <w:rsid w:val="008559EF"/>
    <w:rsid w:val="00856097"/>
    <w:rsid w:val="00867EB1"/>
    <w:rsid w:val="0088767C"/>
    <w:rsid w:val="008B688F"/>
    <w:rsid w:val="008C088D"/>
    <w:rsid w:val="008C6807"/>
    <w:rsid w:val="008D75F1"/>
    <w:rsid w:val="008E0302"/>
    <w:rsid w:val="008F5A95"/>
    <w:rsid w:val="008F7F09"/>
    <w:rsid w:val="00926631"/>
    <w:rsid w:val="0092681E"/>
    <w:rsid w:val="00926D33"/>
    <w:rsid w:val="0093246E"/>
    <w:rsid w:val="00936B11"/>
    <w:rsid w:val="009468F3"/>
    <w:rsid w:val="00954951"/>
    <w:rsid w:val="009717E2"/>
    <w:rsid w:val="009736C8"/>
    <w:rsid w:val="009749E5"/>
    <w:rsid w:val="009942BC"/>
    <w:rsid w:val="00995B12"/>
    <w:rsid w:val="0099768A"/>
    <w:rsid w:val="009A6BF3"/>
    <w:rsid w:val="009F5253"/>
    <w:rsid w:val="00A11368"/>
    <w:rsid w:val="00A3065E"/>
    <w:rsid w:val="00A30C00"/>
    <w:rsid w:val="00A33DE2"/>
    <w:rsid w:val="00A54B9A"/>
    <w:rsid w:val="00A607CB"/>
    <w:rsid w:val="00A62D24"/>
    <w:rsid w:val="00A66F4A"/>
    <w:rsid w:val="00A7191C"/>
    <w:rsid w:val="00A97B1E"/>
    <w:rsid w:val="00AA122B"/>
    <w:rsid w:val="00AB33CB"/>
    <w:rsid w:val="00AC652D"/>
    <w:rsid w:val="00AD2F4C"/>
    <w:rsid w:val="00AD4DBB"/>
    <w:rsid w:val="00B0431B"/>
    <w:rsid w:val="00B31FD4"/>
    <w:rsid w:val="00B64452"/>
    <w:rsid w:val="00B6576B"/>
    <w:rsid w:val="00B73738"/>
    <w:rsid w:val="00B80987"/>
    <w:rsid w:val="00BA6CAC"/>
    <w:rsid w:val="00BB792D"/>
    <w:rsid w:val="00BD51B5"/>
    <w:rsid w:val="00BE4FD2"/>
    <w:rsid w:val="00BE50AA"/>
    <w:rsid w:val="00C05DE1"/>
    <w:rsid w:val="00C0776C"/>
    <w:rsid w:val="00C159A9"/>
    <w:rsid w:val="00C36918"/>
    <w:rsid w:val="00C4423D"/>
    <w:rsid w:val="00C67E53"/>
    <w:rsid w:val="00C7348A"/>
    <w:rsid w:val="00C9176C"/>
    <w:rsid w:val="00CA32EE"/>
    <w:rsid w:val="00CA6C50"/>
    <w:rsid w:val="00CB23F7"/>
    <w:rsid w:val="00CC3CC9"/>
    <w:rsid w:val="00CC556D"/>
    <w:rsid w:val="00CD07EE"/>
    <w:rsid w:val="00CF220A"/>
    <w:rsid w:val="00CF3702"/>
    <w:rsid w:val="00CF5711"/>
    <w:rsid w:val="00D061B8"/>
    <w:rsid w:val="00D26E80"/>
    <w:rsid w:val="00D43D42"/>
    <w:rsid w:val="00D67ECB"/>
    <w:rsid w:val="00D80723"/>
    <w:rsid w:val="00DB7FC7"/>
    <w:rsid w:val="00DC2FEA"/>
    <w:rsid w:val="00DC5BFA"/>
    <w:rsid w:val="00DC7252"/>
    <w:rsid w:val="00DD7E93"/>
    <w:rsid w:val="00DE3FD9"/>
    <w:rsid w:val="00DE72B2"/>
    <w:rsid w:val="00DF52D2"/>
    <w:rsid w:val="00E13906"/>
    <w:rsid w:val="00E3599C"/>
    <w:rsid w:val="00E40426"/>
    <w:rsid w:val="00E40640"/>
    <w:rsid w:val="00E478DA"/>
    <w:rsid w:val="00E556B8"/>
    <w:rsid w:val="00E57DF5"/>
    <w:rsid w:val="00E608F1"/>
    <w:rsid w:val="00E660A7"/>
    <w:rsid w:val="00E660D7"/>
    <w:rsid w:val="00E87B7C"/>
    <w:rsid w:val="00E96A00"/>
    <w:rsid w:val="00EB1F22"/>
    <w:rsid w:val="00EB209A"/>
    <w:rsid w:val="00EB405D"/>
    <w:rsid w:val="00EB5605"/>
    <w:rsid w:val="00EB753E"/>
    <w:rsid w:val="00EB76E9"/>
    <w:rsid w:val="00EC155F"/>
    <w:rsid w:val="00EC26EF"/>
    <w:rsid w:val="00ED4501"/>
    <w:rsid w:val="00ED49C9"/>
    <w:rsid w:val="00ED6A37"/>
    <w:rsid w:val="00EE6512"/>
    <w:rsid w:val="00EF02A5"/>
    <w:rsid w:val="00EF1911"/>
    <w:rsid w:val="00EF1DF0"/>
    <w:rsid w:val="00EF676B"/>
    <w:rsid w:val="00F07FEF"/>
    <w:rsid w:val="00F10F23"/>
    <w:rsid w:val="00F17B34"/>
    <w:rsid w:val="00F47FDA"/>
    <w:rsid w:val="00F64394"/>
    <w:rsid w:val="00F64680"/>
    <w:rsid w:val="00F816D4"/>
    <w:rsid w:val="00F97198"/>
    <w:rsid w:val="00F97CCA"/>
    <w:rsid w:val="00FA1ADD"/>
    <w:rsid w:val="00FA6826"/>
    <w:rsid w:val="00FC1293"/>
    <w:rsid w:val="00FD0E05"/>
    <w:rsid w:val="00FF4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FE6DBE"/>
  <w15:docId w15:val="{8E5B0480-D6EA-40C7-81FE-20C75611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160"/>
  </w:style>
  <w:style w:type="paragraph" w:styleId="Heading5">
    <w:name w:val="heading 5"/>
    <w:basedOn w:val="Normal"/>
    <w:link w:val="Heading5Char"/>
    <w:uiPriority w:val="9"/>
    <w:qFormat/>
    <w:rsid w:val="006F538E"/>
    <w:pPr>
      <w:spacing w:before="100" w:beforeAutospacing="1" w:after="100" w:after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F538E"/>
    <w:rPr>
      <w:rFonts w:eastAsia="Times New Roman"/>
      <w:b/>
      <w:bCs/>
      <w:sz w:val="20"/>
      <w:szCs w:val="20"/>
    </w:rPr>
  </w:style>
  <w:style w:type="paragraph" w:styleId="ListParagraph">
    <w:name w:val="List Paragraph"/>
    <w:basedOn w:val="Normal"/>
    <w:uiPriority w:val="34"/>
    <w:qFormat/>
    <w:rsid w:val="00A54B9A"/>
    <w:pPr>
      <w:ind w:left="720"/>
      <w:contextualSpacing/>
    </w:pPr>
  </w:style>
  <w:style w:type="character" w:styleId="Hyperlink">
    <w:name w:val="Hyperlink"/>
    <w:basedOn w:val="DefaultParagraphFont"/>
    <w:uiPriority w:val="99"/>
    <w:unhideWhenUsed/>
    <w:rsid w:val="00A54B9A"/>
    <w:rPr>
      <w:color w:val="0000FF" w:themeColor="hyperlink"/>
      <w:u w:val="single"/>
    </w:rPr>
  </w:style>
  <w:style w:type="character" w:customStyle="1" w:styleId="vsDraft">
    <w:name w:val="vsDraft"/>
    <w:basedOn w:val="DefaultParagraphFont"/>
    <w:rsid w:val="00A54B9A"/>
    <w:rPr>
      <w:b/>
      <w:noProof/>
      <w:sz w:val="20"/>
      <w:szCs w:val="20"/>
    </w:rPr>
  </w:style>
  <w:style w:type="paragraph" w:customStyle="1" w:styleId="PartnerList">
    <w:name w:val="PartnerList"/>
    <w:basedOn w:val="Normal"/>
    <w:link w:val="PartnerListChar"/>
    <w:rsid w:val="00A54B9A"/>
    <w:pPr>
      <w:spacing w:after="0"/>
      <w:jc w:val="center"/>
    </w:pPr>
    <w:rPr>
      <w:rFonts w:ascii="Tahoma" w:hAnsi="Tahoma"/>
      <w:b/>
      <w:color w:val="404040"/>
      <w:sz w:val="8"/>
      <w:szCs w:val="20"/>
    </w:rPr>
  </w:style>
  <w:style w:type="character" w:customStyle="1" w:styleId="PartnerListChar">
    <w:name w:val="PartnerList Char"/>
    <w:basedOn w:val="DefaultParagraphFont"/>
    <w:link w:val="PartnerList"/>
    <w:rsid w:val="00A54B9A"/>
    <w:rPr>
      <w:rFonts w:ascii="Tahoma" w:hAnsi="Tahoma"/>
      <w:b/>
      <w:color w:val="404040"/>
      <w:sz w:val="8"/>
      <w:szCs w:val="20"/>
    </w:rPr>
  </w:style>
  <w:style w:type="character" w:customStyle="1" w:styleId="HeaderFooterOfficeInfo">
    <w:name w:val="HeaderFooterOfficeInfo"/>
    <w:basedOn w:val="DefaultParagraphFont"/>
    <w:rsid w:val="00A54B9A"/>
    <w:rPr>
      <w:rFonts w:ascii="Century Schoolbook" w:hAnsi="Century Schoolbook"/>
      <w:b/>
      <w:noProof/>
      <w:vanish w:val="0"/>
      <w:color w:val="auto"/>
      <w:sz w:val="16"/>
      <w:szCs w:val="20"/>
    </w:rPr>
  </w:style>
  <w:style w:type="paragraph" w:customStyle="1" w:styleId="vsLastFooter">
    <w:name w:val="vsLastFooter"/>
    <w:basedOn w:val="Normal"/>
    <w:next w:val="Normal"/>
    <w:rsid w:val="00A54B9A"/>
    <w:pPr>
      <w:widowControl w:val="0"/>
      <w:spacing w:line="240" w:lineRule="exact"/>
    </w:pPr>
    <w:rPr>
      <w:rFonts w:ascii="Arial" w:hAnsi="Arial" w:cs="Arial"/>
      <w:b/>
      <w:noProof/>
      <w:color w:val="FF0000"/>
      <w:sz w:val="14"/>
      <w:szCs w:val="20"/>
    </w:rPr>
  </w:style>
  <w:style w:type="paragraph" w:styleId="NormalWeb">
    <w:name w:val="Normal (Web)"/>
    <w:basedOn w:val="Normal"/>
    <w:uiPriority w:val="99"/>
    <w:unhideWhenUsed/>
    <w:rsid w:val="006F538E"/>
    <w:pPr>
      <w:spacing w:before="100" w:beforeAutospacing="1" w:after="100" w:afterAutospacing="1"/>
    </w:pPr>
    <w:rPr>
      <w:rFonts w:eastAsia="Times New Roman"/>
    </w:rPr>
  </w:style>
  <w:style w:type="table" w:styleId="TableGrid">
    <w:name w:val="Table Grid"/>
    <w:basedOn w:val="TableNormal"/>
    <w:uiPriority w:val="59"/>
    <w:rsid w:val="003430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5B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B12"/>
    <w:rPr>
      <w:rFonts w:ascii="Tahoma" w:hAnsi="Tahoma" w:cs="Tahoma"/>
      <w:sz w:val="16"/>
      <w:szCs w:val="16"/>
    </w:rPr>
  </w:style>
  <w:style w:type="numbering" w:customStyle="1" w:styleId="NoList1">
    <w:name w:val="No List1"/>
    <w:next w:val="NoList"/>
    <w:uiPriority w:val="99"/>
    <w:semiHidden/>
    <w:unhideWhenUsed/>
    <w:rsid w:val="005F3232"/>
  </w:style>
  <w:style w:type="character" w:styleId="FollowedHyperlink">
    <w:name w:val="FollowedHyperlink"/>
    <w:basedOn w:val="DefaultParagraphFont"/>
    <w:uiPriority w:val="99"/>
    <w:semiHidden/>
    <w:unhideWhenUsed/>
    <w:rsid w:val="005F3232"/>
    <w:rPr>
      <w:color w:val="800080"/>
      <w:u w:val="single"/>
    </w:rPr>
  </w:style>
  <w:style w:type="paragraph" w:customStyle="1" w:styleId="msonormal0">
    <w:name w:val="msonormal"/>
    <w:basedOn w:val="Normal"/>
    <w:rsid w:val="005F3232"/>
    <w:pPr>
      <w:spacing w:before="100" w:beforeAutospacing="1" w:after="100" w:afterAutospacing="1"/>
    </w:pPr>
    <w:rPr>
      <w:rFonts w:eastAsia="Times New Roman"/>
    </w:rPr>
  </w:style>
  <w:style w:type="paragraph" w:customStyle="1" w:styleId="xl655">
    <w:name w:val="xl655"/>
    <w:basedOn w:val="Normal"/>
    <w:rsid w:val="005F3232"/>
    <w:pPr>
      <w:spacing w:before="100" w:beforeAutospacing="1" w:after="100" w:afterAutospacing="1"/>
      <w:textAlignment w:val="center"/>
    </w:pPr>
    <w:rPr>
      <w:rFonts w:eastAsia="Times New Roman"/>
    </w:rPr>
  </w:style>
  <w:style w:type="paragraph" w:customStyle="1" w:styleId="xl656">
    <w:name w:val="xl656"/>
    <w:basedOn w:val="Normal"/>
    <w:rsid w:val="005F3232"/>
    <w:pPr>
      <w:spacing w:before="100" w:beforeAutospacing="1" w:after="100" w:afterAutospacing="1"/>
      <w:textAlignment w:val="center"/>
    </w:pPr>
    <w:rPr>
      <w:rFonts w:eastAsia="Times New Roman"/>
    </w:rPr>
  </w:style>
  <w:style w:type="paragraph" w:styleId="Header">
    <w:name w:val="header"/>
    <w:basedOn w:val="Normal"/>
    <w:link w:val="HeaderChar"/>
    <w:uiPriority w:val="99"/>
    <w:unhideWhenUsed/>
    <w:rsid w:val="005F3232"/>
    <w:pPr>
      <w:tabs>
        <w:tab w:val="center" w:pos="4680"/>
        <w:tab w:val="right" w:pos="9360"/>
      </w:tabs>
      <w:spacing w:after="0"/>
    </w:pPr>
  </w:style>
  <w:style w:type="character" w:customStyle="1" w:styleId="HeaderChar">
    <w:name w:val="Header Char"/>
    <w:basedOn w:val="DefaultParagraphFont"/>
    <w:link w:val="Header"/>
    <w:uiPriority w:val="99"/>
    <w:rsid w:val="005F3232"/>
  </w:style>
  <w:style w:type="paragraph" w:styleId="Footer">
    <w:name w:val="footer"/>
    <w:basedOn w:val="Normal"/>
    <w:link w:val="FooterChar"/>
    <w:uiPriority w:val="99"/>
    <w:unhideWhenUsed/>
    <w:rsid w:val="005F3232"/>
    <w:pPr>
      <w:tabs>
        <w:tab w:val="center" w:pos="4680"/>
        <w:tab w:val="right" w:pos="9360"/>
      </w:tabs>
      <w:spacing w:after="0"/>
    </w:pPr>
  </w:style>
  <w:style w:type="character" w:customStyle="1" w:styleId="FooterChar">
    <w:name w:val="Footer Char"/>
    <w:basedOn w:val="DefaultParagraphFont"/>
    <w:link w:val="Footer"/>
    <w:uiPriority w:val="99"/>
    <w:rsid w:val="005F3232"/>
  </w:style>
  <w:style w:type="character" w:styleId="UnresolvedMention">
    <w:name w:val="Unresolved Mention"/>
    <w:basedOn w:val="DefaultParagraphFont"/>
    <w:uiPriority w:val="99"/>
    <w:semiHidden/>
    <w:unhideWhenUsed/>
    <w:rsid w:val="00D061B8"/>
    <w:rPr>
      <w:color w:val="605E5C"/>
      <w:shd w:val="clear" w:color="auto" w:fill="E1DFDD"/>
    </w:rPr>
  </w:style>
  <w:style w:type="character" w:styleId="CommentReference">
    <w:name w:val="annotation reference"/>
    <w:basedOn w:val="DefaultParagraphFont"/>
    <w:uiPriority w:val="99"/>
    <w:semiHidden/>
    <w:unhideWhenUsed/>
    <w:rsid w:val="006B163C"/>
    <w:rPr>
      <w:sz w:val="16"/>
      <w:szCs w:val="16"/>
    </w:rPr>
  </w:style>
  <w:style w:type="paragraph" w:styleId="CommentText">
    <w:name w:val="annotation text"/>
    <w:basedOn w:val="Normal"/>
    <w:link w:val="CommentTextChar"/>
    <w:uiPriority w:val="99"/>
    <w:unhideWhenUsed/>
    <w:rsid w:val="006B163C"/>
    <w:rPr>
      <w:sz w:val="20"/>
      <w:szCs w:val="20"/>
    </w:rPr>
  </w:style>
  <w:style w:type="character" w:customStyle="1" w:styleId="CommentTextChar">
    <w:name w:val="Comment Text Char"/>
    <w:basedOn w:val="DefaultParagraphFont"/>
    <w:link w:val="CommentText"/>
    <w:uiPriority w:val="99"/>
    <w:rsid w:val="006B163C"/>
    <w:rPr>
      <w:sz w:val="20"/>
      <w:szCs w:val="20"/>
    </w:rPr>
  </w:style>
  <w:style w:type="paragraph" w:styleId="CommentSubject">
    <w:name w:val="annotation subject"/>
    <w:basedOn w:val="CommentText"/>
    <w:next w:val="CommentText"/>
    <w:link w:val="CommentSubjectChar"/>
    <w:uiPriority w:val="99"/>
    <w:semiHidden/>
    <w:unhideWhenUsed/>
    <w:rsid w:val="006B163C"/>
    <w:rPr>
      <w:b/>
      <w:bCs/>
    </w:rPr>
  </w:style>
  <w:style w:type="character" w:customStyle="1" w:styleId="CommentSubjectChar">
    <w:name w:val="Comment Subject Char"/>
    <w:basedOn w:val="CommentTextChar"/>
    <w:link w:val="CommentSubject"/>
    <w:uiPriority w:val="99"/>
    <w:semiHidden/>
    <w:rsid w:val="006B163C"/>
    <w:rPr>
      <w:b/>
      <w:bCs/>
      <w:sz w:val="20"/>
      <w:szCs w:val="20"/>
    </w:rPr>
  </w:style>
  <w:style w:type="paragraph" w:customStyle="1" w:styleId="xl104">
    <w:name w:val="xl104"/>
    <w:basedOn w:val="Normal"/>
    <w:rsid w:val="00294C38"/>
    <w:pPr>
      <w:spacing w:before="100" w:beforeAutospacing="1" w:after="100" w:afterAutospacing="1"/>
      <w:textAlignment w:val="top"/>
    </w:pPr>
    <w:rPr>
      <w:rFonts w:eastAsia="Times New Roman"/>
    </w:rPr>
  </w:style>
  <w:style w:type="paragraph" w:customStyle="1" w:styleId="xl105">
    <w:name w:val="xl105"/>
    <w:basedOn w:val="Normal"/>
    <w:rsid w:val="00294C38"/>
    <w:pPr>
      <w:spacing w:before="100" w:beforeAutospacing="1" w:after="100" w:afterAutospacing="1"/>
      <w:textAlignment w:val="top"/>
    </w:pPr>
    <w:rPr>
      <w:rFonts w:ascii="Roboto" w:eastAsia="Times New Roman" w:hAnsi="Roboto"/>
    </w:rPr>
  </w:style>
  <w:style w:type="paragraph" w:customStyle="1" w:styleId="xl106">
    <w:name w:val="xl106"/>
    <w:basedOn w:val="Normal"/>
    <w:rsid w:val="00294C38"/>
    <w:pPr>
      <w:spacing w:before="100" w:beforeAutospacing="1" w:after="100" w:afterAutospacing="1"/>
      <w:textAlignment w:val="top"/>
    </w:pPr>
    <w:rPr>
      <w:rFonts w:eastAsia="Times New Roman"/>
    </w:rPr>
  </w:style>
  <w:style w:type="paragraph" w:customStyle="1" w:styleId="xl107">
    <w:name w:val="xl107"/>
    <w:basedOn w:val="Normal"/>
    <w:rsid w:val="00294C38"/>
    <w:pPr>
      <w:spacing w:before="100" w:beforeAutospacing="1" w:after="100" w:afterAutospacing="1"/>
      <w:textAlignment w:val="top"/>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028802">
      <w:bodyDiv w:val="1"/>
      <w:marLeft w:val="0"/>
      <w:marRight w:val="0"/>
      <w:marTop w:val="0"/>
      <w:marBottom w:val="0"/>
      <w:divBdr>
        <w:top w:val="none" w:sz="0" w:space="0" w:color="auto"/>
        <w:left w:val="none" w:sz="0" w:space="0" w:color="auto"/>
        <w:bottom w:val="none" w:sz="0" w:space="0" w:color="auto"/>
        <w:right w:val="none" w:sz="0" w:space="0" w:color="auto"/>
      </w:divBdr>
    </w:div>
    <w:div w:id="529419816">
      <w:bodyDiv w:val="1"/>
      <w:marLeft w:val="0"/>
      <w:marRight w:val="0"/>
      <w:marTop w:val="0"/>
      <w:marBottom w:val="0"/>
      <w:divBdr>
        <w:top w:val="none" w:sz="0" w:space="0" w:color="auto"/>
        <w:left w:val="none" w:sz="0" w:space="0" w:color="auto"/>
        <w:bottom w:val="none" w:sz="0" w:space="0" w:color="auto"/>
        <w:right w:val="none" w:sz="0" w:space="0" w:color="auto"/>
      </w:divBdr>
    </w:div>
    <w:div w:id="572738402">
      <w:bodyDiv w:val="1"/>
      <w:marLeft w:val="0"/>
      <w:marRight w:val="0"/>
      <w:marTop w:val="0"/>
      <w:marBottom w:val="0"/>
      <w:divBdr>
        <w:top w:val="none" w:sz="0" w:space="0" w:color="auto"/>
        <w:left w:val="none" w:sz="0" w:space="0" w:color="auto"/>
        <w:bottom w:val="none" w:sz="0" w:space="0" w:color="auto"/>
        <w:right w:val="none" w:sz="0" w:space="0" w:color="auto"/>
      </w:divBdr>
    </w:div>
    <w:div w:id="572934826">
      <w:bodyDiv w:val="1"/>
      <w:marLeft w:val="0"/>
      <w:marRight w:val="0"/>
      <w:marTop w:val="0"/>
      <w:marBottom w:val="0"/>
      <w:divBdr>
        <w:top w:val="none" w:sz="0" w:space="0" w:color="auto"/>
        <w:left w:val="none" w:sz="0" w:space="0" w:color="auto"/>
        <w:bottom w:val="none" w:sz="0" w:space="0" w:color="auto"/>
        <w:right w:val="none" w:sz="0" w:space="0" w:color="auto"/>
      </w:divBdr>
    </w:div>
    <w:div w:id="808598601">
      <w:bodyDiv w:val="1"/>
      <w:marLeft w:val="0"/>
      <w:marRight w:val="0"/>
      <w:marTop w:val="0"/>
      <w:marBottom w:val="0"/>
      <w:divBdr>
        <w:top w:val="none" w:sz="0" w:space="0" w:color="auto"/>
        <w:left w:val="none" w:sz="0" w:space="0" w:color="auto"/>
        <w:bottom w:val="none" w:sz="0" w:space="0" w:color="auto"/>
        <w:right w:val="none" w:sz="0" w:space="0" w:color="auto"/>
      </w:divBdr>
    </w:div>
    <w:div w:id="856428629">
      <w:bodyDiv w:val="1"/>
      <w:marLeft w:val="0"/>
      <w:marRight w:val="0"/>
      <w:marTop w:val="0"/>
      <w:marBottom w:val="0"/>
      <w:divBdr>
        <w:top w:val="none" w:sz="0" w:space="0" w:color="auto"/>
        <w:left w:val="none" w:sz="0" w:space="0" w:color="auto"/>
        <w:bottom w:val="none" w:sz="0" w:space="0" w:color="auto"/>
        <w:right w:val="none" w:sz="0" w:space="0" w:color="auto"/>
      </w:divBdr>
      <w:divsChild>
        <w:div w:id="460540346">
          <w:marLeft w:val="0"/>
          <w:marRight w:val="0"/>
          <w:marTop w:val="0"/>
          <w:marBottom w:val="0"/>
          <w:divBdr>
            <w:top w:val="single" w:sz="2" w:space="0" w:color="E2E8F0"/>
            <w:left w:val="single" w:sz="2" w:space="0" w:color="E2E8F0"/>
            <w:bottom w:val="single" w:sz="2" w:space="0" w:color="E2E8F0"/>
            <w:right w:val="single" w:sz="2" w:space="0" w:color="E2E8F0"/>
          </w:divBdr>
        </w:div>
        <w:div w:id="255016127">
          <w:marLeft w:val="0"/>
          <w:marRight w:val="0"/>
          <w:marTop w:val="0"/>
          <w:marBottom w:val="0"/>
          <w:divBdr>
            <w:top w:val="single" w:sz="2" w:space="0" w:color="E2E8F0"/>
            <w:left w:val="single" w:sz="2" w:space="27" w:color="E2E8F0"/>
            <w:bottom w:val="single" w:sz="2" w:space="0" w:color="E2E8F0"/>
            <w:right w:val="single" w:sz="2" w:space="0" w:color="E2E8F0"/>
          </w:divBdr>
        </w:div>
        <w:div w:id="2101676910">
          <w:marLeft w:val="0"/>
          <w:marRight w:val="0"/>
          <w:marTop w:val="0"/>
          <w:marBottom w:val="0"/>
          <w:divBdr>
            <w:top w:val="single" w:sz="2" w:space="0" w:color="E2E8F0"/>
            <w:left w:val="single" w:sz="2" w:space="0" w:color="E2E8F0"/>
            <w:bottom w:val="single" w:sz="2" w:space="0" w:color="E2E8F0"/>
            <w:right w:val="single" w:sz="2" w:space="0" w:color="E2E8F0"/>
          </w:divBdr>
        </w:div>
        <w:div w:id="353381686">
          <w:marLeft w:val="0"/>
          <w:marRight w:val="0"/>
          <w:marTop w:val="0"/>
          <w:marBottom w:val="0"/>
          <w:divBdr>
            <w:top w:val="single" w:sz="2" w:space="0" w:color="E2E8F0"/>
            <w:left w:val="single" w:sz="2" w:space="0" w:color="E2E8F0"/>
            <w:bottom w:val="single" w:sz="2" w:space="0" w:color="E2E8F0"/>
            <w:right w:val="single" w:sz="2" w:space="0" w:color="E2E8F0"/>
          </w:divBdr>
        </w:div>
        <w:div w:id="4719461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65394818">
      <w:bodyDiv w:val="1"/>
      <w:marLeft w:val="0"/>
      <w:marRight w:val="0"/>
      <w:marTop w:val="0"/>
      <w:marBottom w:val="0"/>
      <w:divBdr>
        <w:top w:val="none" w:sz="0" w:space="0" w:color="auto"/>
        <w:left w:val="none" w:sz="0" w:space="0" w:color="auto"/>
        <w:bottom w:val="none" w:sz="0" w:space="0" w:color="auto"/>
        <w:right w:val="none" w:sz="0" w:space="0" w:color="auto"/>
      </w:divBdr>
    </w:div>
    <w:div w:id="1567571990">
      <w:bodyDiv w:val="1"/>
      <w:marLeft w:val="0"/>
      <w:marRight w:val="0"/>
      <w:marTop w:val="0"/>
      <w:marBottom w:val="0"/>
      <w:divBdr>
        <w:top w:val="none" w:sz="0" w:space="0" w:color="auto"/>
        <w:left w:val="none" w:sz="0" w:space="0" w:color="auto"/>
        <w:bottom w:val="none" w:sz="0" w:space="0" w:color="auto"/>
        <w:right w:val="none" w:sz="0" w:space="0" w:color="auto"/>
      </w:divBdr>
      <w:divsChild>
        <w:div w:id="432358873">
          <w:marLeft w:val="0"/>
          <w:marRight w:val="0"/>
          <w:marTop w:val="0"/>
          <w:marBottom w:val="0"/>
          <w:divBdr>
            <w:top w:val="single" w:sz="2" w:space="0" w:color="E2E8F0"/>
            <w:left w:val="single" w:sz="2" w:space="0" w:color="E2E8F0"/>
            <w:bottom w:val="single" w:sz="2" w:space="0" w:color="E2E8F0"/>
            <w:right w:val="single" w:sz="2" w:space="0" w:color="E2E8F0"/>
          </w:divBdr>
        </w:div>
        <w:div w:id="839732445">
          <w:marLeft w:val="0"/>
          <w:marRight w:val="0"/>
          <w:marTop w:val="0"/>
          <w:marBottom w:val="0"/>
          <w:divBdr>
            <w:top w:val="single" w:sz="2" w:space="0" w:color="E2E8F0"/>
            <w:left w:val="single" w:sz="2" w:space="27" w:color="E2E8F0"/>
            <w:bottom w:val="single" w:sz="2" w:space="0" w:color="E2E8F0"/>
            <w:right w:val="single" w:sz="2" w:space="0" w:color="E2E8F0"/>
          </w:divBdr>
        </w:div>
        <w:div w:id="1249190027">
          <w:marLeft w:val="0"/>
          <w:marRight w:val="0"/>
          <w:marTop w:val="0"/>
          <w:marBottom w:val="0"/>
          <w:divBdr>
            <w:top w:val="single" w:sz="2" w:space="0" w:color="E2E8F0"/>
            <w:left w:val="single" w:sz="2" w:space="0" w:color="E2E8F0"/>
            <w:bottom w:val="single" w:sz="2" w:space="0" w:color="E2E8F0"/>
            <w:right w:val="single" w:sz="2" w:space="0" w:color="E2E8F0"/>
          </w:divBdr>
        </w:div>
        <w:div w:id="370613094">
          <w:marLeft w:val="0"/>
          <w:marRight w:val="0"/>
          <w:marTop w:val="0"/>
          <w:marBottom w:val="0"/>
          <w:divBdr>
            <w:top w:val="single" w:sz="2" w:space="0" w:color="E2E8F0"/>
            <w:left w:val="single" w:sz="2" w:space="0" w:color="E2E8F0"/>
            <w:bottom w:val="single" w:sz="2" w:space="0" w:color="E2E8F0"/>
            <w:right w:val="single" w:sz="2" w:space="0" w:color="E2E8F0"/>
          </w:divBdr>
        </w:div>
        <w:div w:id="52032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575237102">
      <w:bodyDiv w:val="1"/>
      <w:marLeft w:val="0"/>
      <w:marRight w:val="0"/>
      <w:marTop w:val="0"/>
      <w:marBottom w:val="0"/>
      <w:divBdr>
        <w:top w:val="none" w:sz="0" w:space="0" w:color="auto"/>
        <w:left w:val="none" w:sz="0" w:space="0" w:color="auto"/>
        <w:bottom w:val="none" w:sz="0" w:space="0" w:color="auto"/>
        <w:right w:val="none" w:sz="0" w:space="0" w:color="auto"/>
      </w:divBdr>
    </w:div>
    <w:div w:id="1606646320">
      <w:bodyDiv w:val="1"/>
      <w:marLeft w:val="0"/>
      <w:marRight w:val="0"/>
      <w:marTop w:val="0"/>
      <w:marBottom w:val="0"/>
      <w:divBdr>
        <w:top w:val="none" w:sz="0" w:space="0" w:color="auto"/>
        <w:left w:val="none" w:sz="0" w:space="0" w:color="auto"/>
        <w:bottom w:val="none" w:sz="0" w:space="0" w:color="auto"/>
        <w:right w:val="none" w:sz="0" w:space="0" w:color="auto"/>
      </w:divBdr>
    </w:div>
    <w:div w:id="1666660885">
      <w:bodyDiv w:val="1"/>
      <w:marLeft w:val="0"/>
      <w:marRight w:val="0"/>
      <w:marTop w:val="0"/>
      <w:marBottom w:val="0"/>
      <w:divBdr>
        <w:top w:val="none" w:sz="0" w:space="0" w:color="auto"/>
        <w:left w:val="none" w:sz="0" w:space="0" w:color="auto"/>
        <w:bottom w:val="none" w:sz="0" w:space="0" w:color="auto"/>
        <w:right w:val="none" w:sz="0" w:space="0" w:color="auto"/>
      </w:divBdr>
    </w:div>
    <w:div w:id="1802724999">
      <w:bodyDiv w:val="1"/>
      <w:marLeft w:val="0"/>
      <w:marRight w:val="0"/>
      <w:marTop w:val="0"/>
      <w:marBottom w:val="0"/>
      <w:divBdr>
        <w:top w:val="none" w:sz="0" w:space="0" w:color="auto"/>
        <w:left w:val="none" w:sz="0" w:space="0" w:color="auto"/>
        <w:bottom w:val="none" w:sz="0" w:space="0" w:color="auto"/>
        <w:right w:val="none" w:sz="0" w:space="0" w:color="auto"/>
      </w:divBdr>
    </w:div>
    <w:div w:id="1928731931">
      <w:bodyDiv w:val="1"/>
      <w:marLeft w:val="0"/>
      <w:marRight w:val="0"/>
      <w:marTop w:val="0"/>
      <w:marBottom w:val="0"/>
      <w:divBdr>
        <w:top w:val="none" w:sz="0" w:space="0" w:color="auto"/>
        <w:left w:val="none" w:sz="0" w:space="0" w:color="auto"/>
        <w:bottom w:val="none" w:sz="0" w:space="0" w:color="auto"/>
        <w:right w:val="none" w:sz="0" w:space="0" w:color="auto"/>
      </w:divBdr>
    </w:div>
    <w:div w:id="2042124507">
      <w:bodyDiv w:val="1"/>
      <w:marLeft w:val="0"/>
      <w:marRight w:val="0"/>
      <w:marTop w:val="0"/>
      <w:marBottom w:val="0"/>
      <w:divBdr>
        <w:top w:val="none" w:sz="0" w:space="0" w:color="auto"/>
        <w:left w:val="none" w:sz="0" w:space="0" w:color="auto"/>
        <w:bottom w:val="none" w:sz="0" w:space="0" w:color="auto"/>
        <w:right w:val="none" w:sz="0" w:space="0" w:color="auto"/>
      </w:divBdr>
    </w:div>
    <w:div w:id="2100783464">
      <w:bodyDiv w:val="1"/>
      <w:marLeft w:val="0"/>
      <w:marRight w:val="0"/>
      <w:marTop w:val="0"/>
      <w:marBottom w:val="0"/>
      <w:divBdr>
        <w:top w:val="none" w:sz="0" w:space="0" w:color="auto"/>
        <w:left w:val="none" w:sz="0" w:space="0" w:color="auto"/>
        <w:bottom w:val="none" w:sz="0" w:space="0" w:color="auto"/>
        <w:right w:val="none" w:sz="0" w:space="0" w:color="auto"/>
      </w:divBdr>
    </w:div>
    <w:div w:id="211690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ir.worthingtonsteel.com/ir-home/default.aspx"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iManageProps" /></Relationships>
</file>

<file path=customXML/item2.xml><?xml version="1.0" encoding="utf-8"?>
<properties xmlns="http://www.imanage.com/work/xmlschema">
  <documentid>ACTIVE!65538807.3</documentid>
  <senderid>MSPURCELL</senderid>
  <senderemail>MSPURCELL@VORYS.COM</senderemail>
  <lastmodified>2026-05-28T09:51:00.0000000-04:00</lastmodified>
  <database>ACTIVE</database>
</properties>
</file>

<file path=customXML/itemProps2.xml><?xml version="1.0" encoding="utf-8"?>
<ds:datastoreItem xmlns:ds="http://schemas.openxmlformats.org/officeDocument/2006/customXml" ds:itemID="{19CA542F-E304-4634-9B4B-BFBB5FBDC16B}">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61C27-848E-41AF-8E2B-3DC4A451B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2512</Words>
  <Characters>14048</Characters>
  <Application>Microsoft Office Word</Application>
  <DocSecurity>0</DocSecurity>
  <Lines>425</Lines>
  <Paragraphs>337</Paragraphs>
  <ScaleCrop>false</ScaleCrop>
  <HeadingPairs>
    <vt:vector size="2" baseType="variant">
      <vt:variant>
        <vt:lpstr>Title</vt:lpstr>
      </vt:variant>
      <vt:variant>
        <vt:i4>1</vt:i4>
      </vt:variant>
    </vt:vector>
  </HeadingPairs>
  <TitlesOfParts>
    <vt:vector size="1" baseType="lpstr">
      <vt:lpstr/>
    </vt:vector>
  </TitlesOfParts>
  <Company>Vorys, Sater, Seymour and Pease LLP</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mspurcell</dc:creator>
  <cp:keywords/>
  <dc:description/>
  <cp:lastModifiedBy>Purcell, M. Sean (Sean)</cp:lastModifiedBy>
  <cp:revision>5</cp:revision>
  <cp:lastPrinted>2025-05-14T14:18:00Z</cp:lastPrinted>
  <dcterms:created xsi:type="dcterms:W3CDTF">2026-05-28T13:51:00Z</dcterms:created>
  <dcterms:modified xsi:type="dcterms:W3CDTF">2026-05-28T13:51:00Z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#65538807v2&lt;ACTIVE&gt; - Worthington Steel Form SD and Conflict Minerals Report (2026)</vt:lpwstr>
  </property>
</Properties>
</file>